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1. Mokslo institucijose (universitetuose) rugpjūtis yra visuotinių atostogų mėnuo. Įtraukus mokslo institucijas į paraišką kaip partnerius, sudėtinga tinkamai užbaigti paraiškos ruošimą, nes beveik visi darbuotojai atostogauja. Nors įdirbis buvo padarytas pirmo paraiškos ruošimo etapo metu, tačiau dar yra nemažai klausimų, į kuriuos reikia atsakyti, rengiant galutinį paraiškos variantą. Ar yra galimybė pratęsti antro etapo paraiškų pridavimo terminą bent iki rugsėjo vidurio</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Lietuvos Respublikos ūkio ministerija tokios galimybės šiuo metu nėra numačiusi. Jeigu terminas bus pratęstas, apie tai informuosime VšĮ Lietuvos verslo paramos agentūros interneto svetainėje </w:t>
      </w:r>
      <w:hyperlink r:id="rId4" w:history="1">
        <w:r w:rsidRPr="00EC12FC">
          <w:rPr>
            <w:rStyle w:val="Hipersaitas"/>
            <w:rFonts w:ascii="Times New Roman" w:eastAsia="Times New Roman" w:hAnsi="Times New Roman"/>
            <w:color w:val="FF0000"/>
            <w:sz w:val="24"/>
            <w:szCs w:val="24"/>
            <w:lang w:eastAsia="lt-LT"/>
          </w:rPr>
          <w:t>www.lvpa.lt</w:t>
        </w:r>
      </w:hyperlink>
      <w:r w:rsidRPr="00EC12FC">
        <w:rPr>
          <w:rFonts w:ascii="Times New Roman" w:eastAsia="Times New Roman" w:hAnsi="Times New Roman"/>
          <w:color w:val="FF0000"/>
          <w:sz w:val="24"/>
          <w:szCs w:val="24"/>
          <w:lang w:eastAsia="lt-LT"/>
        </w:rPr>
        <w:t>.</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 Kadangi projekto įgyvendinimo apimtis (produktų skaičius) priklauso nuo ES finansavimo patvirtinimo, tai finansiniuose scenarijuose galime nurodyti, kad gavus paramą bus kuriami 3 produktai, o negavus paramos - tik vienas?</w:t>
      </w:r>
    </w:p>
    <w:p w:rsidR="00EC12FC" w:rsidRPr="00EC12FC" w:rsidRDefault="00EC12FC" w:rsidP="00EC12FC">
      <w:pPr>
        <w:spacing w:line="360" w:lineRule="auto"/>
        <w:jc w:val="both"/>
        <w:rPr>
          <w:rFonts w:ascii="Times New Roman" w:hAnsi="Times New Roman"/>
          <w:i/>
          <w:iCs/>
          <w:color w:val="FF0000"/>
          <w:sz w:val="24"/>
          <w:szCs w:val="24"/>
        </w:rPr>
      </w:pPr>
      <w:hyperlink r:id="rId5" w:history="1">
        <w:r w:rsidRPr="00EC12FC">
          <w:rPr>
            <w:rStyle w:val="Hipersaitas"/>
            <w:rFonts w:ascii="Times New Roman" w:eastAsia="Times New Roman" w:hAnsi="Times New Roman"/>
            <w:color w:val="FF0000"/>
            <w:sz w:val="24"/>
            <w:szCs w:val="24"/>
            <w:lang w:eastAsia="lt-LT"/>
          </w:rPr>
          <w:t>Verslo plano</w:t>
        </w:r>
      </w:hyperlink>
      <w:r w:rsidRPr="00EC12FC">
        <w:rPr>
          <w:rFonts w:ascii="Times New Roman" w:eastAsia="Times New Roman" w:hAnsi="Times New Roman"/>
          <w:color w:val="FF0000"/>
          <w:sz w:val="24"/>
          <w:szCs w:val="24"/>
          <w:lang w:eastAsia="lt-LT"/>
        </w:rPr>
        <w:t xml:space="preserve"> 7 dalies papildomoje informacijoje nurodoma, kad „</w:t>
      </w:r>
      <w:r w:rsidRPr="00EC12FC">
        <w:rPr>
          <w:rFonts w:ascii="Times New Roman" w:hAnsi="Times New Roman"/>
          <w:color w:val="FF0000"/>
          <w:sz w:val="24"/>
          <w:szCs w:val="24"/>
        </w:rPr>
        <w:t>Visiems</w:t>
      </w:r>
      <w:r w:rsidRPr="00EC12FC">
        <w:rPr>
          <w:rFonts w:ascii="Times New Roman" w:hAnsi="Times New Roman"/>
          <w:iCs/>
          <w:color w:val="FF0000"/>
          <w:sz w:val="24"/>
          <w:szCs w:val="24"/>
        </w:rPr>
        <w:t xml:space="preserve"> skaičiavimams pateikiami du scenarijai: naudojant Europos Sąjungos finansavimą bei be Europos Sąjungos finansavimo. Projekto apimtis (investicijos) abiejų scenarijų atveju neturėtų skirtis</w:t>
      </w:r>
      <w:r w:rsidRPr="00EC12FC">
        <w:rPr>
          <w:rFonts w:ascii="Times New Roman" w:hAnsi="Times New Roman"/>
          <w:i/>
          <w:iCs/>
          <w:color w:val="FF0000"/>
          <w:sz w:val="24"/>
          <w:szCs w:val="24"/>
        </w:rPr>
        <w:t>.“</w:t>
      </w:r>
    </w:p>
    <w:p w:rsidR="00EC12FC" w:rsidRPr="00EC12FC" w:rsidRDefault="00EC12FC" w:rsidP="00EC12FC">
      <w:pPr>
        <w:spacing w:line="360" w:lineRule="auto"/>
        <w:jc w:val="both"/>
        <w:rPr>
          <w:rFonts w:ascii="Times New Roman" w:hAnsi="Times New Roman"/>
          <w:i/>
          <w:iCs/>
          <w:color w:val="FF0000"/>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3. Sunkumų patirianti įmonė - kai tenkina bent vieną iš kriterijų ar visus?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Pakanka, kad įmonė tenkina</w:t>
      </w:r>
      <w:r w:rsidRPr="00EC12FC">
        <w:rPr>
          <w:rFonts w:ascii="Times New Roman" w:eastAsia="Times New Roman" w:hAnsi="Times New Roman"/>
          <w:color w:val="FF0000"/>
          <w:sz w:val="24"/>
          <w:szCs w:val="24"/>
          <w:lang w:eastAsia="lt-LT"/>
        </w:rPr>
        <w:t xml:space="preserve"> </w:t>
      </w:r>
      <w:r w:rsidRPr="00EC12FC">
        <w:rPr>
          <w:rFonts w:ascii="Times New Roman" w:eastAsia="Times New Roman" w:hAnsi="Times New Roman"/>
          <w:color w:val="FF0000"/>
          <w:sz w:val="24"/>
          <w:szCs w:val="24"/>
          <w:lang w:eastAsia="lt-LT"/>
        </w:rPr>
        <w:t>bent vieną kriterijų.</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4. Jeigu biuro patalpos, kuriose vykdoma veikla, yra nuomojamos, ar tai reiškia, kad nuomos sutartis turi būti ne trumpesnė kaip projekto pabaiga ir 3 metai po projekto (mažų įmonių atveju)?</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Jeigu projekte planuojamos investicijos į infrastruktūrą,, tuomet nuomos sutartis turi galioti projekto metu ir 3 m. po projekto (mažų įmonių atveju).</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5. Kas yra produkto technologinės parengties lygis? Paaiškinkite prašau išsamiau, į ką atkreipti dėmesį aprašant, nei tai apibrėžta LRV nutarime? </w:t>
      </w:r>
    </w:p>
    <w:p w:rsidR="00EC12FC" w:rsidRPr="00EC12FC" w:rsidRDefault="00EC12FC" w:rsidP="00EC12FC">
      <w:pPr>
        <w:spacing w:line="360" w:lineRule="auto"/>
        <w:jc w:val="both"/>
        <w:rPr>
          <w:rFonts w:ascii="Times New Roman" w:hAnsi="Times New Roman"/>
          <w:color w:val="FF0000"/>
          <w:sz w:val="24"/>
          <w:szCs w:val="24"/>
          <w:lang w:eastAsia="lt-LT"/>
        </w:rPr>
      </w:pPr>
      <w:r w:rsidRPr="00EC12FC">
        <w:rPr>
          <w:rFonts w:ascii="Times New Roman" w:hAnsi="Times New Roman"/>
          <w:color w:val="FF0000"/>
          <w:sz w:val="24"/>
          <w:szCs w:val="24"/>
          <w:lang w:eastAsia="lt-LT"/>
        </w:rPr>
        <w:t xml:space="preserve">Produkto technologinės parengties lygis vertinamas vadovaujantis </w:t>
      </w:r>
      <w:hyperlink r:id="rId6" w:history="1">
        <w:r w:rsidRPr="00EC12FC">
          <w:rPr>
            <w:rStyle w:val="Hipersaitas"/>
            <w:rFonts w:ascii="Times New Roman" w:hAnsi="Times New Roman"/>
            <w:color w:val="FF0000"/>
            <w:sz w:val="24"/>
            <w:szCs w:val="24"/>
            <w:lang w:eastAsia="lt-LT"/>
          </w:rPr>
          <w:t>Rekomenduojamos mokslinių tyrimų ir eksperimentinės plėtros etapų klasifikacijos aprašu, patvirtintu Lietuvos Respublikos Vyriausybės 2012 m. birželio 6 d. nutarimu Nr. 650.</w:t>
        </w:r>
      </w:hyperlink>
      <w:r w:rsidRPr="00EC12FC">
        <w:rPr>
          <w:rFonts w:ascii="Times New Roman" w:hAnsi="Times New Roman"/>
          <w:color w:val="FF0000"/>
          <w:sz w:val="24"/>
          <w:szCs w:val="24"/>
          <w:lang w:eastAsia="lt-LT"/>
        </w:rPr>
        <w:t xml:space="preserve"> Rekomenduojame vadovautis šiuo teisės aktu, papildomų paaiškinimų nėra pateikta.  </w:t>
      </w:r>
    </w:p>
    <w:p w:rsidR="00EC12FC" w:rsidRPr="00EC12FC" w:rsidRDefault="00EC12FC" w:rsidP="00EC12FC">
      <w:pPr>
        <w:spacing w:line="360" w:lineRule="auto"/>
        <w:jc w:val="both"/>
        <w:rPr>
          <w:rFonts w:ascii="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6. Ar svarbu kuriame mieste yra nuomojamos patalpos veiklai vykdyti? Ar turi būti veikla vykdoma būtinai tik tuose miestuose, kuriuose yra registruoti pareiškėjas ir partneris?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hyperlink r:id="rId7" w:history="1">
        <w:r w:rsidRPr="00EC12FC">
          <w:rPr>
            <w:rStyle w:val="Hipersaitas"/>
            <w:rFonts w:ascii="Times New Roman" w:eastAsia="Times New Roman" w:hAnsi="Times New Roman"/>
            <w:color w:val="FF0000"/>
            <w:sz w:val="24"/>
            <w:szCs w:val="24"/>
            <w:lang w:eastAsia="lt-LT"/>
          </w:rPr>
          <w:t>Priemonės aprašas</w:t>
        </w:r>
      </w:hyperlink>
      <w:r w:rsidRPr="00EC12FC">
        <w:rPr>
          <w:rFonts w:ascii="Times New Roman" w:eastAsia="Times New Roman" w:hAnsi="Times New Roman"/>
          <w:color w:val="FF0000"/>
          <w:sz w:val="24"/>
          <w:szCs w:val="24"/>
          <w:lang w:eastAsia="lt-LT"/>
        </w:rPr>
        <w:t xml:space="preserve"> neapriboja projekto vykdymo teritorijos Lietuvoje.</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7. Ar reikia pagrįsti lėšas visai projekto apimčiai, ar tik nuosavam indėliui atmetus numatomą valstybės paramą?</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Reikia pagrįsti nuosavą indėlį į projektą. </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8. Ar įmonės indėlis į projektą gali būti iš būsimų pajamų, t. y., iš projekto metu kuriamo produkto (iš dalies, apie pusė sumos)? Kadangi pilnas produkto kūrimas užtruks du metus, mūsų atveju, bent jau po pusės metų bus galima pradėti pardavinėti kai kurias produkto versijas. Planuojame per du metus pilnai </w:t>
      </w:r>
      <w:proofErr w:type="spellStart"/>
      <w:r w:rsidRPr="00EC12FC">
        <w:rPr>
          <w:rFonts w:ascii="Times New Roman" w:eastAsia="Times New Roman" w:hAnsi="Times New Roman"/>
          <w:sz w:val="24"/>
          <w:szCs w:val="24"/>
          <w:lang w:eastAsia="lt-LT"/>
        </w:rPr>
        <w:t>komercializuoti</w:t>
      </w:r>
      <w:proofErr w:type="spellEnd"/>
      <w:r w:rsidRPr="00EC12FC">
        <w:rPr>
          <w:rFonts w:ascii="Times New Roman" w:eastAsia="Times New Roman" w:hAnsi="Times New Roman"/>
          <w:sz w:val="24"/>
          <w:szCs w:val="24"/>
          <w:lang w:eastAsia="lt-LT"/>
        </w:rPr>
        <w:t xml:space="preserve"> mūsų kuriamą produktą, todėl bent dalį gautinų pajamų iš pardavimų norime įtraukti į projektą kaip įmonės įnešamą dalį į projektą. Jeigu tai galima daryti, ar reikia pateikti ketinimų protokolus su galimais pirkėjais, partneriais?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Numatytas indėlis nėra tinkamas. Užtikrinant įmonės indėlį į projektą reikėtų vadovautis </w:t>
      </w:r>
      <w:hyperlink r:id="rId8" w:history="1">
        <w:r w:rsidRPr="00EC12FC">
          <w:rPr>
            <w:rStyle w:val="Hipersaitas"/>
            <w:rFonts w:ascii="Times New Roman" w:eastAsia="Times New Roman" w:hAnsi="Times New Roman"/>
            <w:color w:val="FF0000"/>
            <w:sz w:val="24"/>
            <w:szCs w:val="24"/>
            <w:lang w:eastAsia="lt-LT"/>
          </w:rPr>
          <w:t>priemonės aprašo</w:t>
        </w:r>
      </w:hyperlink>
      <w:r w:rsidRPr="00EC12FC">
        <w:rPr>
          <w:rFonts w:ascii="Times New Roman" w:eastAsia="Times New Roman" w:hAnsi="Times New Roman"/>
          <w:color w:val="FF0000"/>
          <w:sz w:val="24"/>
          <w:szCs w:val="24"/>
          <w:lang w:eastAsia="lt-LT"/>
        </w:rPr>
        <w:t xml:space="preserve"> 1 priedo 6.1 punktu. </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9. Pateikite prašau realių įėjimo į rinką barjerų (tiek teisinių, tiek finansinių, tiek infrastruktūrinių) pavyzdžių.</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Teisiniai įėjimo į rinką barjerai – reikalingos licencijos, sertifikatai, leidimai ir pan.; finansiniai – reikalingos papildomos investicijos siekiant įsigyti įrangą, skirtą MTEP veiklų metu sukurtų produktų, gamybai; infrastruktūrinės – reikalinga infrastruktūra, skirta MTEP veiklų metu sukurtų produktų, gamybai (pvz., „švarios patalpos“).</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10. Mokslo ir studijų institucija turi padengti visų tinkamų išlaidų 10 proc. ar tik tų veiklų kuriose dalyvauja?</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Mokslo ir studijų institucija turi patirti ne mažiau kaip 10 procentų visų tinkamų finansuoti išlaidų</w:t>
      </w:r>
      <w:r w:rsidRPr="00EC12FC">
        <w:rPr>
          <w:rFonts w:ascii="Times New Roman" w:eastAsia="Times New Roman" w:hAnsi="Times New Roman"/>
          <w:color w:val="FF0000"/>
          <w:sz w:val="24"/>
          <w:szCs w:val="24"/>
          <w:lang w:eastAsia="lt-LT"/>
        </w:rPr>
        <w:t>.</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11. </w:t>
      </w:r>
      <w:hyperlink r:id="rId9" w:history="1">
        <w:r w:rsidRPr="00EC12FC">
          <w:rPr>
            <w:rStyle w:val="Hipersaitas"/>
            <w:rFonts w:ascii="Times New Roman" w:eastAsia="Times New Roman" w:hAnsi="Times New Roman"/>
            <w:sz w:val="24"/>
            <w:szCs w:val="24"/>
            <w:lang w:eastAsia="lt-LT"/>
          </w:rPr>
          <w:t>Verslo plano</w:t>
        </w:r>
      </w:hyperlink>
      <w:r w:rsidRPr="00EC12FC">
        <w:rPr>
          <w:rFonts w:ascii="Times New Roman" w:eastAsia="Times New Roman" w:hAnsi="Times New Roman"/>
          <w:sz w:val="24"/>
          <w:szCs w:val="24"/>
          <w:lang w:eastAsia="lt-LT"/>
        </w:rPr>
        <w:t xml:space="preserve"> 6.4. dalyje reikia nurodyti investicinės pagalbos tinkamumo užtikrinimą. Ar gali būti teigiamai atsakyta į abu klausimus? Ar paslaugos suteikimas yra laikomas gamybos procesu?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Turėtų būti pasirinktas vienas iš variantų. . Taip, paslaugos suteikimas yra laikomas gamybos procesu.</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12. Ar tikrai yra netinkamos finansuoti išlaidos visa programinė įranga? Pavyzdžiui, perkant kompiuterį, reikalinga operacinė sistema ir biuro programos.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 Vykdant 10.2 veiklą programinės įrangos įsigijimo išlaidos yra tinkamos finansuoti (Aprašo 74 p.).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lastRenderedPageBreak/>
        <w:t xml:space="preserve">13. Jeigu vykdant veiklas yra reikalingas tam tikri mechanizmai kaip </w:t>
      </w:r>
      <w:proofErr w:type="spellStart"/>
      <w:r w:rsidRPr="00EC12FC">
        <w:rPr>
          <w:rFonts w:ascii="Times New Roman" w:eastAsia="Times New Roman" w:hAnsi="Times New Roman"/>
          <w:sz w:val="24"/>
          <w:szCs w:val="24"/>
          <w:lang w:eastAsia="lt-LT"/>
        </w:rPr>
        <w:t>autogrąžtai</w:t>
      </w:r>
      <w:proofErr w:type="spellEnd"/>
      <w:r w:rsidRPr="00EC12FC">
        <w:rPr>
          <w:rFonts w:ascii="Times New Roman" w:eastAsia="Times New Roman" w:hAnsi="Times New Roman"/>
          <w:sz w:val="24"/>
          <w:szCs w:val="24"/>
          <w:lang w:eastAsia="lt-LT"/>
        </w:rPr>
        <w:t xml:space="preserve"> ar kita specifinė technika, ar tai patenka į tinkamas finansuoti išlaidas?</w:t>
      </w:r>
    </w:p>
    <w:p w:rsid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Planuojamos įsigyti įrangos tinkamumas finansuoti bus vertinamas atsižvelgiant į planuojamos įsigyti įrangos būtinumą MTEP veiklų vykdymui.</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14. </w:t>
      </w:r>
      <w:hyperlink r:id="rId10" w:history="1">
        <w:r w:rsidRPr="00EC12FC">
          <w:rPr>
            <w:rStyle w:val="Hipersaitas"/>
            <w:rFonts w:ascii="Times New Roman" w:eastAsia="Times New Roman" w:hAnsi="Times New Roman"/>
            <w:sz w:val="24"/>
            <w:szCs w:val="24"/>
            <w:lang w:eastAsia="lt-LT"/>
          </w:rPr>
          <w:t>Verslo plano</w:t>
        </w:r>
      </w:hyperlink>
      <w:r w:rsidRPr="00EC12FC">
        <w:rPr>
          <w:rFonts w:ascii="Times New Roman" w:eastAsia="Times New Roman" w:hAnsi="Times New Roman"/>
          <w:sz w:val="24"/>
          <w:szCs w:val="24"/>
          <w:lang w:eastAsia="lt-LT"/>
        </w:rPr>
        <w:t xml:space="preserve"> 6.4.2. lentelėje prašoma nurodyti pakartotinai naudojamą turtą. Kas yra laikoma pakartotinai naudojamu turtu?</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Tai yra turimas įmonės turtas, kuris bus naudojamas projekto veiklų vykdymui</w:t>
      </w:r>
      <w:r>
        <w:rPr>
          <w:rFonts w:ascii="Times New Roman" w:eastAsia="Times New Roman" w:hAnsi="Times New Roman"/>
          <w:color w:val="FF0000"/>
          <w:sz w:val="24"/>
          <w:szCs w:val="24"/>
          <w:lang w:eastAsia="lt-LT"/>
        </w:rPr>
        <w:t>.</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15. Jei programavimo darbai yra būtini sukurti prototipą, ar įmonės programuotojų darbo ties šiais darbais atlyginimas yra tinkamas finansuoti?</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Jeigu I paraiškų vertinimo etape programavimo veikla buvo pripažinta tinkama finansuoti, tuomet įmonės programuotojų darbo užmokesčio išlaidos galėtų būti finansuojamos.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16. Ar dalyvavimas tarptautinėse parodose ir produkto pristatymas, susitikimas su potencialiais pirkėjais bus laikoma tinkamomis išlaidomis?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Tokios išlaidos nebūtų tinkamos finansuoti. </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17. Norint pagaminti prototipą reikalinga suprojektuoti ir išlieti korpuso formą. Norime tam pirkti paslaugą, bet ji neturi </w:t>
      </w:r>
      <w:proofErr w:type="spellStart"/>
      <w:r w:rsidRPr="00EC12FC">
        <w:rPr>
          <w:rFonts w:ascii="Times New Roman" w:eastAsia="Times New Roman" w:hAnsi="Times New Roman"/>
          <w:sz w:val="24"/>
          <w:szCs w:val="24"/>
          <w:lang w:eastAsia="lt-LT"/>
        </w:rPr>
        <w:t>neapibrėžtumų</w:t>
      </w:r>
      <w:proofErr w:type="spellEnd"/>
      <w:r w:rsidRPr="00EC12FC">
        <w:rPr>
          <w:rFonts w:ascii="Times New Roman" w:eastAsia="Times New Roman" w:hAnsi="Times New Roman"/>
          <w:sz w:val="24"/>
          <w:szCs w:val="24"/>
          <w:lang w:eastAsia="lt-LT"/>
        </w:rPr>
        <w:t xml:space="preserve"> - ar tokia paslauga yra tinkama finansuoti?</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Iš pateiktos informacijos nėra galimybės nustatyti numatytų išlaidų tinkamumo tam bus pasitelkiamas ekspertinis vertinimas.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18. Ar gali būti samdomi darbuotojai projekto vykdymui ne iš Europos Sąjungos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Projektą turėtų vykdyti pareiškėjo ar partnerio darbuotojai.</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19. Jeigu pareiškėjas neturi programuotojo, bet kažkuriai MTEP veiklai bus reikalingos tokios ribotos apimties paslaugos, ar tikrai negalimas tokių paslaugų įsigijimas?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Jei būtų įrodyta, jog perkamos programavimo paslaugos susijusios su tam tikrų technologinių </w:t>
      </w:r>
      <w:proofErr w:type="spellStart"/>
      <w:r w:rsidRPr="00EC12FC">
        <w:rPr>
          <w:rFonts w:ascii="Times New Roman" w:eastAsia="Times New Roman" w:hAnsi="Times New Roman"/>
          <w:color w:val="FF0000"/>
          <w:sz w:val="24"/>
          <w:szCs w:val="24"/>
          <w:lang w:eastAsia="lt-LT"/>
        </w:rPr>
        <w:t>neapibrėžtumų</w:t>
      </w:r>
      <w:proofErr w:type="spellEnd"/>
      <w:r w:rsidRPr="00EC12FC">
        <w:rPr>
          <w:rFonts w:ascii="Times New Roman" w:eastAsia="Times New Roman" w:hAnsi="Times New Roman"/>
          <w:color w:val="FF0000"/>
          <w:sz w:val="24"/>
          <w:szCs w:val="24"/>
          <w:lang w:eastAsia="lt-LT"/>
        </w:rPr>
        <w:t xml:space="preserve"> sprendimu, tokios išlaidos galėtų būti tinkamos finansuoti.</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20. Kaip tinkamai pagrįsti darbo užmokestį asmenų, kurie šiuo metu dar nėra dirbantys, o būtų įdarbinti projekto finansavimo sėkmės atveju? Rinkos kainos yra labai įvairios.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lastRenderedPageBreak/>
        <w:t>Kartu su paraiška turėtumėte pateikti nuorodas į rinkoje mokamą darbo užmokestį (Statistikos departamento duomenys, anksčiau įmonėje mokėtas atlyginimas už panašias funkcijas, sektoriaus informacija, tyrimai ir pan.).</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21. Kiek komercinių pasiūlymų reikia pateikti, jei prašoma kompensuoti įrangos nusidėvėjimą? </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Rekomenduojama bent du.</w:t>
      </w:r>
      <w:bookmarkStart w:id="0" w:name="_GoBack"/>
      <w:bookmarkEnd w:id="0"/>
    </w:p>
    <w:p w:rsidR="00EC12FC" w:rsidRPr="00EC12FC" w:rsidRDefault="00EC12FC" w:rsidP="00EC12FC">
      <w:pPr>
        <w:spacing w:line="360" w:lineRule="auto"/>
        <w:jc w:val="both"/>
        <w:rPr>
          <w:rFonts w:ascii="Times New Roman" w:eastAsia="Times New Roman" w:hAnsi="Times New Roman"/>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22. Ar bus pateikiama rekomenduojama jungtinės veiklos sutarties forma? Ar galima naudoti turimą savo?</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Galima naudoti turimą formą.</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23. Kaip bus vertinamas projekto atitiktis strateginiams dokumentams?</w:t>
      </w: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color w:val="FF0000"/>
          <w:sz w:val="24"/>
          <w:szCs w:val="24"/>
          <w:lang w:eastAsia="lt-LT"/>
        </w:rPr>
        <w:t xml:space="preserve">Bus vertinama konkrečios paraiškos atitiktis strateginiams dokumentams. </w:t>
      </w:r>
      <w:r w:rsidRPr="00EC12FC">
        <w:rPr>
          <w:rFonts w:ascii="Times New Roman" w:eastAsia="Times New Roman" w:hAnsi="Times New Roman"/>
          <w:sz w:val="24"/>
          <w:szCs w:val="24"/>
          <w:lang w:eastAsia="lt-LT"/>
        </w:rPr>
        <w:t xml:space="preserve"> </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24. Ar vertinama tik paties pareiškėjo patirtis, ar ir partnerio patirtis tarptautiniuose projektuose?</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Tik pareiškėjo.</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 xml:space="preserve">25. Jeigu </w:t>
      </w:r>
      <w:proofErr w:type="spellStart"/>
      <w:r w:rsidRPr="00EC12FC">
        <w:rPr>
          <w:rFonts w:ascii="Times New Roman" w:eastAsia="Times New Roman" w:hAnsi="Times New Roman"/>
          <w:sz w:val="24"/>
          <w:szCs w:val="24"/>
          <w:lang w:eastAsia="lt-LT"/>
        </w:rPr>
        <w:t>komercializacija</w:t>
      </w:r>
      <w:proofErr w:type="spellEnd"/>
      <w:r w:rsidRPr="00EC12FC">
        <w:rPr>
          <w:rFonts w:ascii="Times New Roman" w:eastAsia="Times New Roman" w:hAnsi="Times New Roman"/>
          <w:sz w:val="24"/>
          <w:szCs w:val="24"/>
          <w:lang w:eastAsia="lt-LT"/>
        </w:rPr>
        <w:t xml:space="preserve"> nepavyksta ir pardavimas po projekto užbaigimo neįvyksta, kokia atsakomybė tenka įmonei? Reikės grąžinti gautas lėšas?</w:t>
      </w:r>
    </w:p>
    <w:p w:rsidR="00EC12FC" w:rsidRPr="00EC12FC" w:rsidRDefault="00EC12FC" w:rsidP="00EC12FC">
      <w:pPr>
        <w:spacing w:line="360" w:lineRule="auto"/>
        <w:jc w:val="both"/>
        <w:rPr>
          <w:rFonts w:ascii="Times New Roman" w:eastAsia="Times New Roman" w:hAnsi="Times New Roman"/>
          <w:color w:val="FF0000"/>
          <w:sz w:val="24"/>
          <w:szCs w:val="24"/>
          <w:lang w:eastAsia="lt-LT"/>
        </w:rPr>
      </w:pPr>
      <w:r w:rsidRPr="00EC12FC">
        <w:rPr>
          <w:rFonts w:ascii="Times New Roman" w:eastAsia="Times New Roman" w:hAnsi="Times New Roman"/>
          <w:color w:val="FF0000"/>
          <w:sz w:val="24"/>
          <w:szCs w:val="24"/>
          <w:lang w:eastAsia="lt-LT"/>
        </w:rPr>
        <w:t xml:space="preserve">Tokiu atveju, vadovaujantis </w:t>
      </w:r>
      <w:hyperlink r:id="rId11" w:history="1">
        <w:r w:rsidRPr="00EC12FC">
          <w:rPr>
            <w:rStyle w:val="Hipersaitas"/>
            <w:rFonts w:ascii="Times New Roman" w:eastAsia="Times New Roman" w:hAnsi="Times New Roman"/>
            <w:color w:val="FF0000"/>
            <w:sz w:val="24"/>
            <w:szCs w:val="24"/>
            <w:lang w:eastAsia="lt-LT"/>
          </w:rPr>
          <w:t>„Metodinių pažeidimų tyrimo ir nustatymo rekomendacijomis“</w:t>
        </w:r>
      </w:hyperlink>
      <w:r w:rsidRPr="00EC12FC">
        <w:rPr>
          <w:rFonts w:ascii="Times New Roman" w:eastAsia="Times New Roman" w:hAnsi="Times New Roman"/>
          <w:color w:val="FF0000"/>
          <w:sz w:val="24"/>
          <w:szCs w:val="24"/>
          <w:lang w:eastAsia="lt-LT"/>
        </w:rPr>
        <w:t xml:space="preserve">, būtų vertinama projektu nepasiektų  stebėsenos rodiklių bei fizinių veiklų įgyvendinimo rodiklių dalis ir galimos finansinės korekcijos, t. y. gautų lėšų sugrąžinimas. </w:t>
      </w:r>
    </w:p>
    <w:p w:rsidR="00EC12FC" w:rsidRPr="00EC12FC" w:rsidRDefault="00EC12FC" w:rsidP="00EC12FC">
      <w:pPr>
        <w:spacing w:line="360" w:lineRule="auto"/>
        <w:jc w:val="both"/>
        <w:rPr>
          <w:rFonts w:ascii="Times New Roman" w:hAnsi="Times New Roman"/>
          <w:b/>
          <w:sz w:val="24"/>
          <w:szCs w:val="24"/>
        </w:rPr>
      </w:pPr>
    </w:p>
    <w:p w:rsidR="00EC12FC" w:rsidRPr="00EC12FC" w:rsidRDefault="00EC12FC" w:rsidP="00EC12FC">
      <w:pPr>
        <w:spacing w:line="360" w:lineRule="auto"/>
        <w:jc w:val="both"/>
        <w:rPr>
          <w:rFonts w:ascii="Times New Roman" w:eastAsia="Times New Roman" w:hAnsi="Times New Roman"/>
          <w:sz w:val="24"/>
          <w:szCs w:val="24"/>
          <w:lang w:eastAsia="lt-LT"/>
        </w:rPr>
      </w:pPr>
      <w:r w:rsidRPr="00EC12FC">
        <w:rPr>
          <w:rFonts w:ascii="Times New Roman" w:eastAsia="Times New Roman" w:hAnsi="Times New Roman"/>
          <w:sz w:val="24"/>
          <w:szCs w:val="24"/>
          <w:lang w:eastAsia="lt-LT"/>
        </w:rPr>
        <w:t>26. Ar gali mokslo ir studijų indėlis būti dalinai savanoriškas ir dalinai finansuojamas iš pareiškėjo?</w:t>
      </w:r>
    </w:p>
    <w:p w:rsidR="00EC12FC" w:rsidRPr="00EC12FC" w:rsidRDefault="00EC12FC" w:rsidP="00EC12FC">
      <w:pPr>
        <w:spacing w:line="360" w:lineRule="auto"/>
        <w:jc w:val="both"/>
        <w:rPr>
          <w:rFonts w:ascii="Times New Roman" w:hAnsi="Times New Roman"/>
          <w:b/>
          <w:sz w:val="24"/>
          <w:szCs w:val="24"/>
        </w:rPr>
      </w:pPr>
      <w:r w:rsidRPr="00EC12FC">
        <w:rPr>
          <w:rFonts w:ascii="Times New Roman" w:eastAsia="Times New Roman" w:hAnsi="Times New Roman"/>
          <w:color w:val="FF0000"/>
          <w:sz w:val="24"/>
          <w:szCs w:val="24"/>
          <w:lang w:eastAsia="lt-LT"/>
        </w:rPr>
        <w:t>Ne.</w:t>
      </w:r>
    </w:p>
    <w:sectPr w:rsidR="00EC12FC" w:rsidRPr="00EC12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62"/>
    <w:rsid w:val="00464AC4"/>
    <w:rsid w:val="00C46762"/>
    <w:rsid w:val="00EC1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DAFC-82E8-4ABF-8F29-FA8FE38D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12FC"/>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12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pa.lt/upload/files/Intelektas/PFSA.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vpa.lt/upload/files/Intelektas/PFSA.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2512A4C0E864" TargetMode="External"/><Relationship Id="rId11" Type="http://schemas.openxmlformats.org/officeDocument/2006/relationships/hyperlink" Target="http://www3.lrs.lt/pls/inter3/dokpaieska.showdoc_l?p_id=345455" TargetMode="External"/><Relationship Id="rId5" Type="http://schemas.openxmlformats.org/officeDocument/2006/relationships/hyperlink" Target="http://lvpa.lt/upload/files/Intelektas/Verslo%20planas%202016-02-01.docx" TargetMode="External"/><Relationship Id="rId10" Type="http://schemas.openxmlformats.org/officeDocument/2006/relationships/hyperlink" Target="http://lvpa.lt/upload/files/Intelektas/Verslo%20planas%202016-02-01.docx" TargetMode="External"/><Relationship Id="rId4" Type="http://schemas.openxmlformats.org/officeDocument/2006/relationships/hyperlink" Target="http://www.lvpa.lt" TargetMode="External"/><Relationship Id="rId9" Type="http://schemas.openxmlformats.org/officeDocument/2006/relationships/hyperlink" Target="http://lvpa.lt/upload/files/Intelektas/Verslo%20planas%202016-02-01.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5248</Words>
  <Characters>2992</Characters>
  <Application>Microsoft Office Word</Application>
  <DocSecurity>0</DocSecurity>
  <Lines>24</Lines>
  <Paragraphs>16</Paragraphs>
  <ScaleCrop>false</ScaleCrop>
  <Company>LVPA</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2016-07-27T07:34:00Z</dcterms:created>
  <dcterms:modified xsi:type="dcterms:W3CDTF">2016-07-27T07:42:00Z</dcterms:modified>
</cp:coreProperties>
</file>