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54" w:rsidRDefault="00070754">
      <w:pPr>
        <w:rPr>
          <w:rFonts w:ascii="Times New Roman" w:hAnsi="Times New Roman" w:cs="Times New Roman"/>
          <w:bCs/>
          <w:color w:val="000000" w:themeColor="text1"/>
          <w:sz w:val="24"/>
          <w:szCs w:val="24"/>
        </w:rPr>
      </w:pPr>
      <w:r w:rsidRPr="00070754">
        <w:rPr>
          <w:rFonts w:ascii="Times New Roman" w:hAnsi="Times New Roman" w:cs="Times New Roman"/>
          <w:bCs/>
          <w:color w:val="000000" w:themeColor="text1"/>
          <w:sz w:val="24"/>
          <w:szCs w:val="24"/>
        </w:rPr>
        <w:t>Aktuali informacija</w:t>
      </w:r>
      <w:r>
        <w:rPr>
          <w:rFonts w:ascii="Times New Roman" w:hAnsi="Times New Roman" w:cs="Times New Roman"/>
          <w:bCs/>
          <w:color w:val="000000" w:themeColor="text1"/>
          <w:sz w:val="24"/>
          <w:szCs w:val="24"/>
        </w:rPr>
        <w:t xml:space="preserve"> p</w:t>
      </w:r>
      <w:r w:rsidRPr="00070754">
        <w:rPr>
          <w:rFonts w:ascii="Times New Roman" w:hAnsi="Times New Roman" w:cs="Times New Roman"/>
          <w:bCs/>
          <w:color w:val="000000" w:themeColor="text1"/>
          <w:sz w:val="24"/>
          <w:szCs w:val="24"/>
        </w:rPr>
        <w:t xml:space="preserve">riemonės </w:t>
      </w:r>
      <w:r>
        <w:rPr>
          <w:rFonts w:ascii="Times New Roman" w:hAnsi="Times New Roman" w:cs="Times New Roman"/>
          <w:bCs/>
          <w:color w:val="000000" w:themeColor="text1"/>
          <w:sz w:val="24"/>
          <w:szCs w:val="24"/>
        </w:rPr>
        <w:t>„</w:t>
      </w:r>
      <w:r w:rsidRPr="00070754">
        <w:rPr>
          <w:rFonts w:ascii="Times New Roman" w:hAnsi="Times New Roman" w:cs="Times New Roman"/>
          <w:bCs/>
          <w:color w:val="000000" w:themeColor="text1"/>
          <w:sz w:val="24"/>
          <w:szCs w:val="24"/>
        </w:rPr>
        <w:t>Naujos galimybės LT</w:t>
      </w:r>
      <w:r>
        <w:rPr>
          <w:rFonts w:ascii="Times New Roman" w:hAnsi="Times New Roman" w:cs="Times New Roman"/>
          <w:bCs/>
          <w:color w:val="000000" w:themeColor="text1"/>
          <w:sz w:val="24"/>
          <w:szCs w:val="24"/>
        </w:rPr>
        <w:t>“</w:t>
      </w:r>
      <w:r w:rsidRPr="00070754">
        <w:rPr>
          <w:rFonts w:ascii="Times New Roman" w:hAnsi="Times New Roman" w:cs="Times New Roman"/>
          <w:bCs/>
          <w:color w:val="000000" w:themeColor="text1"/>
          <w:sz w:val="24"/>
          <w:szCs w:val="24"/>
        </w:rPr>
        <w:t xml:space="preserve"> projektų vykdytojams</w:t>
      </w:r>
      <w:r w:rsidR="008A03CB">
        <w:rPr>
          <w:rFonts w:ascii="Times New Roman" w:hAnsi="Times New Roman" w:cs="Times New Roman"/>
          <w:bCs/>
          <w:color w:val="000000" w:themeColor="text1"/>
          <w:sz w:val="24"/>
          <w:szCs w:val="24"/>
        </w:rPr>
        <w:t xml:space="preserve"> </w:t>
      </w:r>
    </w:p>
    <w:p w:rsidR="00E03A64" w:rsidRPr="00152720" w:rsidRDefault="00EC7CAE">
      <w:pPr>
        <w:rPr>
          <w:rFonts w:ascii="Times New Roman" w:hAnsi="Times New Roman" w:cs="Times New Roman"/>
          <w:b/>
          <w:bCs/>
          <w:color w:val="000000" w:themeColor="text1"/>
          <w:sz w:val="24"/>
          <w:szCs w:val="24"/>
          <w:u w:val="single"/>
        </w:rPr>
      </w:pPr>
      <w:r w:rsidRPr="00152720">
        <w:rPr>
          <w:rFonts w:ascii="Times New Roman" w:hAnsi="Times New Roman" w:cs="Times New Roman"/>
          <w:b/>
          <w:bCs/>
          <w:color w:val="000000" w:themeColor="text1"/>
          <w:sz w:val="24"/>
          <w:szCs w:val="24"/>
          <w:u w:val="single"/>
        </w:rPr>
        <w:t>Dėl parodų keitimo tvarkos</w:t>
      </w:r>
    </w:p>
    <w:p w:rsidR="00070754" w:rsidRPr="00152720" w:rsidRDefault="008A03CB" w:rsidP="00070754">
      <w:pPr>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Pagal projektų administravimo ir finansavimo taisyklių, patvirtintų </w:t>
      </w:r>
      <w:r w:rsidRPr="008A03CB">
        <w:rPr>
          <w:rFonts w:ascii="Times New Roman" w:hAnsi="Times New Roman" w:cs="Times New Roman"/>
          <w:bCs/>
          <w:color w:val="000000" w:themeColor="text1"/>
          <w:sz w:val="24"/>
          <w:szCs w:val="24"/>
        </w:rPr>
        <w:t>2014 m. spalio 8 d.</w:t>
      </w:r>
      <w:r>
        <w:rPr>
          <w:rFonts w:ascii="Times New Roman" w:hAnsi="Times New Roman" w:cs="Times New Roman"/>
          <w:bCs/>
          <w:color w:val="000000" w:themeColor="text1"/>
          <w:sz w:val="24"/>
          <w:szCs w:val="24"/>
        </w:rPr>
        <w:t xml:space="preserve"> Lietuvos Respublikos finansų ministro įsakymu </w:t>
      </w:r>
      <w:r w:rsidRPr="008A03CB">
        <w:rPr>
          <w:rFonts w:ascii="Times New Roman" w:hAnsi="Times New Roman" w:cs="Times New Roman"/>
          <w:bCs/>
          <w:color w:val="000000" w:themeColor="text1"/>
          <w:sz w:val="24"/>
          <w:szCs w:val="24"/>
        </w:rPr>
        <w:t>Nr. 1K-316</w:t>
      </w:r>
      <w:r>
        <w:rPr>
          <w:rFonts w:ascii="Times New Roman" w:hAnsi="Times New Roman" w:cs="Times New Roman"/>
          <w:bCs/>
          <w:color w:val="000000" w:themeColor="text1"/>
          <w:sz w:val="24"/>
          <w:szCs w:val="24"/>
        </w:rPr>
        <w:t xml:space="preserve">, 172 p. </w:t>
      </w:r>
      <w:r w:rsidR="00070754" w:rsidRPr="00070754">
        <w:rPr>
          <w:rFonts w:ascii="Times New Roman" w:hAnsi="Times New Roman" w:cs="Times New Roman"/>
          <w:bCs/>
          <w:color w:val="000000" w:themeColor="text1"/>
          <w:sz w:val="24"/>
          <w:szCs w:val="24"/>
        </w:rPr>
        <w:t xml:space="preserve">Projekto vykdytojas privalo per DMS informuoti įgyvendinančiąją instituciją apie įvykusius arba numatomus projekto planuoto įgyvendinimo </w:t>
      </w:r>
      <w:proofErr w:type="spellStart"/>
      <w:r w:rsidR="00070754" w:rsidRPr="00070754">
        <w:rPr>
          <w:rFonts w:ascii="Times New Roman" w:hAnsi="Times New Roman" w:cs="Times New Roman"/>
          <w:bCs/>
          <w:color w:val="000000" w:themeColor="text1"/>
          <w:sz w:val="24"/>
          <w:szCs w:val="24"/>
        </w:rPr>
        <w:t>nukrypimus</w:t>
      </w:r>
      <w:proofErr w:type="spellEnd"/>
      <w:r w:rsidR="00070754" w:rsidRPr="00070754">
        <w:rPr>
          <w:rFonts w:ascii="Times New Roman" w:hAnsi="Times New Roman" w:cs="Times New Roman"/>
          <w:bCs/>
          <w:color w:val="000000" w:themeColor="text1"/>
          <w:sz w:val="24"/>
          <w:szCs w:val="24"/>
        </w:rPr>
        <w:t xml:space="preserve">, dėl kurių keičiasi projekto apimtis, projekto išlaidos, pratęsiamas projekto įgyvendinimo laikotarpis ar kitaip keičiasi projektas ar projekto </w:t>
      </w:r>
      <w:r w:rsidR="00070754" w:rsidRPr="00152720">
        <w:rPr>
          <w:rFonts w:ascii="Times New Roman" w:hAnsi="Times New Roman" w:cs="Times New Roman"/>
          <w:bCs/>
          <w:color w:val="000000" w:themeColor="text1"/>
          <w:sz w:val="24"/>
          <w:szCs w:val="24"/>
        </w:rPr>
        <w:t>sutartyje nustatyti projekto vykdytojo įsipareigojimai.</w:t>
      </w:r>
      <w:r w:rsidR="00070754" w:rsidRPr="00152720">
        <w:rPr>
          <w:rFonts w:ascii="Times New Roman" w:hAnsi="Times New Roman" w:cs="Times New Roman"/>
          <w:b/>
          <w:bCs/>
          <w:color w:val="000000" w:themeColor="text1"/>
          <w:sz w:val="24"/>
          <w:szCs w:val="24"/>
        </w:rPr>
        <w:t xml:space="preserve"> </w:t>
      </w:r>
    </w:p>
    <w:p w:rsidR="00C347EC" w:rsidRDefault="008A03CB" w:rsidP="006B74A1">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Siekiant </w:t>
      </w:r>
      <w:r w:rsidR="009A7D8D">
        <w:rPr>
          <w:rFonts w:ascii="Times New Roman" w:hAnsi="Times New Roman" w:cs="Times New Roman"/>
          <w:bCs/>
          <w:color w:val="000000" w:themeColor="text1"/>
          <w:sz w:val="24"/>
          <w:szCs w:val="24"/>
        </w:rPr>
        <w:t xml:space="preserve">projekto vykdytojams </w:t>
      </w:r>
      <w:r w:rsidR="004B312F">
        <w:rPr>
          <w:rFonts w:ascii="Times New Roman" w:hAnsi="Times New Roman" w:cs="Times New Roman"/>
          <w:bCs/>
          <w:color w:val="000000" w:themeColor="text1"/>
          <w:sz w:val="24"/>
          <w:szCs w:val="24"/>
        </w:rPr>
        <w:t xml:space="preserve">mažinti </w:t>
      </w:r>
      <w:r w:rsidR="004B312F" w:rsidRPr="00070754">
        <w:rPr>
          <w:rFonts w:ascii="Times New Roman" w:hAnsi="Times New Roman" w:cs="Times New Roman"/>
          <w:bCs/>
          <w:color w:val="000000" w:themeColor="text1"/>
          <w:sz w:val="24"/>
          <w:szCs w:val="24"/>
        </w:rPr>
        <w:t>administracin</w:t>
      </w:r>
      <w:r w:rsidR="004B312F">
        <w:rPr>
          <w:rFonts w:ascii="Times New Roman" w:hAnsi="Times New Roman" w:cs="Times New Roman"/>
          <w:bCs/>
          <w:color w:val="000000" w:themeColor="text1"/>
          <w:sz w:val="24"/>
          <w:szCs w:val="24"/>
        </w:rPr>
        <w:t>ę</w:t>
      </w:r>
      <w:r w:rsidR="004B312F" w:rsidRPr="00070754">
        <w:rPr>
          <w:rFonts w:ascii="Times New Roman" w:hAnsi="Times New Roman" w:cs="Times New Roman"/>
          <w:bCs/>
          <w:color w:val="000000" w:themeColor="text1"/>
          <w:sz w:val="24"/>
          <w:szCs w:val="24"/>
        </w:rPr>
        <w:t xml:space="preserve"> našt</w:t>
      </w:r>
      <w:r w:rsidR="004B312F">
        <w:rPr>
          <w:rFonts w:ascii="Times New Roman" w:hAnsi="Times New Roman" w:cs="Times New Roman"/>
          <w:bCs/>
          <w:color w:val="000000" w:themeColor="text1"/>
          <w:sz w:val="24"/>
          <w:szCs w:val="24"/>
        </w:rPr>
        <w:t xml:space="preserve">ą nustatyta </w:t>
      </w:r>
      <w:r>
        <w:rPr>
          <w:rFonts w:ascii="Times New Roman" w:hAnsi="Times New Roman" w:cs="Times New Roman"/>
          <w:bCs/>
          <w:color w:val="000000" w:themeColor="text1"/>
          <w:sz w:val="24"/>
          <w:szCs w:val="24"/>
        </w:rPr>
        <w:t>supaprastint</w:t>
      </w:r>
      <w:r w:rsidR="004B312F">
        <w:rPr>
          <w:rFonts w:ascii="Times New Roman" w:hAnsi="Times New Roman" w:cs="Times New Roman"/>
          <w:bCs/>
          <w:color w:val="000000" w:themeColor="text1"/>
          <w:sz w:val="24"/>
          <w:szCs w:val="24"/>
        </w:rPr>
        <w:t>a</w:t>
      </w:r>
      <w:r>
        <w:rPr>
          <w:rFonts w:ascii="Times New Roman" w:hAnsi="Times New Roman" w:cs="Times New Roman"/>
          <w:bCs/>
          <w:color w:val="000000" w:themeColor="text1"/>
          <w:sz w:val="24"/>
          <w:szCs w:val="24"/>
        </w:rPr>
        <w:t xml:space="preserve"> </w:t>
      </w:r>
      <w:r w:rsidR="00070754" w:rsidRPr="00070754">
        <w:rPr>
          <w:rFonts w:ascii="Times New Roman" w:hAnsi="Times New Roman" w:cs="Times New Roman"/>
          <w:bCs/>
          <w:color w:val="000000" w:themeColor="text1"/>
          <w:sz w:val="24"/>
          <w:szCs w:val="24"/>
        </w:rPr>
        <w:t>parodų keitimo tvark</w:t>
      </w:r>
      <w:r w:rsidR="004B312F">
        <w:rPr>
          <w:rFonts w:ascii="Times New Roman" w:hAnsi="Times New Roman" w:cs="Times New Roman"/>
          <w:bCs/>
          <w:color w:val="000000" w:themeColor="text1"/>
          <w:sz w:val="24"/>
          <w:szCs w:val="24"/>
        </w:rPr>
        <w:t>a. Tai atvejais, kai nereikia atlikti Sutarties keitimo</w:t>
      </w:r>
      <w:r w:rsidR="00A86F0B">
        <w:rPr>
          <w:rFonts w:ascii="Times New Roman" w:hAnsi="Times New Roman" w:cs="Times New Roman"/>
          <w:bCs/>
          <w:color w:val="000000" w:themeColor="text1"/>
          <w:sz w:val="24"/>
          <w:szCs w:val="24"/>
        </w:rPr>
        <w:t xml:space="preserve"> (esminio arba neesminio)</w:t>
      </w:r>
      <w:r w:rsidR="004B312F">
        <w:rPr>
          <w:rFonts w:ascii="Times New Roman" w:hAnsi="Times New Roman" w:cs="Times New Roman"/>
          <w:bCs/>
          <w:color w:val="000000" w:themeColor="text1"/>
          <w:sz w:val="24"/>
          <w:szCs w:val="24"/>
        </w:rPr>
        <w:t xml:space="preserve">, </w:t>
      </w:r>
      <w:proofErr w:type="spellStart"/>
      <w:r w:rsidR="004B312F">
        <w:rPr>
          <w:rFonts w:ascii="Times New Roman" w:hAnsi="Times New Roman" w:cs="Times New Roman"/>
          <w:bCs/>
          <w:color w:val="000000" w:themeColor="text1"/>
          <w:sz w:val="24"/>
          <w:szCs w:val="24"/>
        </w:rPr>
        <w:t>t.y</w:t>
      </w:r>
      <w:proofErr w:type="spellEnd"/>
      <w:r w:rsidR="004B312F">
        <w:rPr>
          <w:rFonts w:ascii="Times New Roman" w:hAnsi="Times New Roman" w:cs="Times New Roman"/>
          <w:bCs/>
          <w:color w:val="000000" w:themeColor="text1"/>
          <w:sz w:val="24"/>
          <w:szCs w:val="24"/>
        </w:rPr>
        <w:t>. dėl parodos keitimo nesikeičia projekto įgyvendinimo laikotarpis</w:t>
      </w:r>
      <w:r w:rsidR="006B74A1">
        <w:rPr>
          <w:rFonts w:ascii="Times New Roman" w:hAnsi="Times New Roman" w:cs="Times New Roman"/>
          <w:bCs/>
          <w:color w:val="000000" w:themeColor="text1"/>
          <w:sz w:val="24"/>
          <w:szCs w:val="24"/>
        </w:rPr>
        <w:t xml:space="preserve"> ir/ar </w:t>
      </w:r>
      <w:r w:rsidR="004B312F">
        <w:rPr>
          <w:rFonts w:ascii="Times New Roman" w:hAnsi="Times New Roman" w:cs="Times New Roman"/>
          <w:bCs/>
          <w:color w:val="000000" w:themeColor="text1"/>
          <w:sz w:val="24"/>
          <w:szCs w:val="24"/>
        </w:rPr>
        <w:t>projekto apimtis</w:t>
      </w:r>
      <w:r w:rsidR="006B74A1">
        <w:rPr>
          <w:rFonts w:ascii="Times New Roman" w:hAnsi="Times New Roman" w:cs="Times New Roman"/>
          <w:bCs/>
          <w:color w:val="000000" w:themeColor="text1"/>
          <w:sz w:val="24"/>
          <w:szCs w:val="24"/>
        </w:rPr>
        <w:t>,</w:t>
      </w:r>
      <w:r w:rsidR="004B312F">
        <w:rPr>
          <w:rFonts w:ascii="Times New Roman" w:hAnsi="Times New Roman" w:cs="Times New Roman"/>
          <w:bCs/>
          <w:color w:val="000000" w:themeColor="text1"/>
          <w:sz w:val="24"/>
          <w:szCs w:val="24"/>
        </w:rPr>
        <w:t xml:space="preserve"> prašome informaciją dėl parodos keitimo teikti kartu su mokėjimo pra</w:t>
      </w:r>
      <w:r w:rsidR="006B74A1">
        <w:rPr>
          <w:rFonts w:ascii="Times New Roman" w:hAnsi="Times New Roman" w:cs="Times New Roman"/>
          <w:bCs/>
          <w:color w:val="000000" w:themeColor="text1"/>
          <w:sz w:val="24"/>
          <w:szCs w:val="24"/>
        </w:rPr>
        <w:t>šymu taip pat pridedant</w:t>
      </w:r>
      <w:r w:rsidR="004B312F">
        <w:rPr>
          <w:rFonts w:ascii="Times New Roman" w:hAnsi="Times New Roman" w:cs="Times New Roman"/>
          <w:bCs/>
          <w:color w:val="000000" w:themeColor="text1"/>
          <w:sz w:val="24"/>
          <w:szCs w:val="24"/>
        </w:rPr>
        <w:t xml:space="preserve"> </w:t>
      </w:r>
      <w:r w:rsidR="006B74A1">
        <w:rPr>
          <w:rFonts w:ascii="Times New Roman" w:hAnsi="Times New Roman" w:cs="Times New Roman"/>
          <w:bCs/>
          <w:color w:val="000000" w:themeColor="text1"/>
          <w:sz w:val="24"/>
          <w:szCs w:val="24"/>
        </w:rPr>
        <w:t>ir įmonės vadovo pasirašytą patvirtinimą</w:t>
      </w:r>
      <w:r w:rsidR="00C347EC">
        <w:rPr>
          <w:rFonts w:ascii="Times New Roman" w:hAnsi="Times New Roman" w:cs="Times New Roman"/>
          <w:bCs/>
          <w:color w:val="000000" w:themeColor="text1"/>
          <w:sz w:val="24"/>
          <w:szCs w:val="24"/>
        </w:rPr>
        <w:t>:</w:t>
      </w:r>
    </w:p>
    <w:p w:rsidR="00C347EC" w:rsidRDefault="00C347EC" w:rsidP="006B74A1">
      <w:pPr>
        <w:jc w:val="both"/>
        <w:rPr>
          <w:rFonts w:ascii="Times New Roman" w:hAnsi="Times New Roman" w:cs="Times New Roman"/>
          <w:sz w:val="24"/>
          <w:szCs w:val="24"/>
        </w:rPr>
      </w:pPr>
      <w:r>
        <w:rPr>
          <w:rFonts w:ascii="Times New Roman" w:hAnsi="Times New Roman" w:cs="Times New Roman"/>
          <w:bCs/>
          <w:color w:val="000000" w:themeColor="text1"/>
          <w:sz w:val="24"/>
          <w:szCs w:val="24"/>
        </w:rPr>
        <w:t>-</w:t>
      </w:r>
      <w:r w:rsidR="006B74A1">
        <w:rPr>
          <w:rFonts w:ascii="Times New Roman" w:hAnsi="Times New Roman" w:cs="Times New Roman"/>
          <w:bCs/>
          <w:color w:val="000000" w:themeColor="text1"/>
          <w:sz w:val="24"/>
          <w:szCs w:val="24"/>
        </w:rPr>
        <w:t xml:space="preserve"> </w:t>
      </w:r>
      <w:r w:rsidR="006B74A1" w:rsidRPr="0037585B">
        <w:rPr>
          <w:rFonts w:ascii="Times New Roman" w:hAnsi="Times New Roman" w:cs="Times New Roman"/>
          <w:i/>
          <w:sz w:val="24"/>
          <w:szCs w:val="24"/>
        </w:rPr>
        <w:t xml:space="preserve">kad </w:t>
      </w:r>
      <w:r w:rsidR="006B74A1">
        <w:rPr>
          <w:rFonts w:ascii="Times New Roman" w:hAnsi="Times New Roman" w:cs="Times New Roman"/>
          <w:i/>
          <w:sz w:val="24"/>
          <w:szCs w:val="24"/>
        </w:rPr>
        <w:t>parodų/</w:t>
      </w:r>
      <w:proofErr w:type="spellStart"/>
      <w:r w:rsidR="006B74A1">
        <w:rPr>
          <w:rFonts w:ascii="Times New Roman" w:hAnsi="Times New Roman" w:cs="Times New Roman"/>
          <w:i/>
          <w:sz w:val="24"/>
          <w:szCs w:val="24"/>
        </w:rPr>
        <w:t>os</w:t>
      </w:r>
      <w:proofErr w:type="spellEnd"/>
      <w:r w:rsidR="006B74A1">
        <w:rPr>
          <w:rFonts w:ascii="Times New Roman" w:hAnsi="Times New Roman" w:cs="Times New Roman"/>
          <w:i/>
          <w:sz w:val="24"/>
          <w:szCs w:val="24"/>
        </w:rPr>
        <w:t xml:space="preserve"> </w:t>
      </w:r>
      <w:r w:rsidR="006B74A1" w:rsidRPr="0037585B">
        <w:rPr>
          <w:rFonts w:ascii="Times New Roman" w:hAnsi="Times New Roman" w:cs="Times New Roman"/>
          <w:i/>
          <w:sz w:val="24"/>
          <w:szCs w:val="24"/>
        </w:rPr>
        <w:t xml:space="preserve">pakeitimai projekte neturės neigiamos įtakos </w:t>
      </w:r>
      <w:r w:rsidR="006B74A1" w:rsidRPr="007461DC">
        <w:rPr>
          <w:rFonts w:ascii="Times New Roman" w:hAnsi="Times New Roman" w:cs="Times New Roman"/>
          <w:i/>
          <w:sz w:val="24"/>
          <w:szCs w:val="24"/>
        </w:rPr>
        <w:t>projekto rezultatams, t. y. projektų fiziniai ir stebėsenos rodikl</w:t>
      </w:r>
      <w:r w:rsidR="006B74A1">
        <w:rPr>
          <w:rFonts w:ascii="Times New Roman" w:hAnsi="Times New Roman" w:cs="Times New Roman"/>
          <w:i/>
          <w:sz w:val="24"/>
          <w:szCs w:val="24"/>
        </w:rPr>
        <w:t>iai bus pasiekti pilna apimtimi</w:t>
      </w:r>
      <w:r w:rsidR="006B74A1">
        <w:rPr>
          <w:rFonts w:ascii="Times New Roman" w:hAnsi="Times New Roman" w:cs="Times New Roman"/>
          <w:sz w:val="24"/>
          <w:szCs w:val="24"/>
        </w:rPr>
        <w:t>.</w:t>
      </w:r>
      <w:r w:rsidR="006B74A1" w:rsidRPr="0037585B">
        <w:rPr>
          <w:rFonts w:ascii="Times New Roman" w:hAnsi="Times New Roman" w:cs="Times New Roman"/>
          <w:sz w:val="24"/>
          <w:szCs w:val="24"/>
        </w:rPr>
        <w:t xml:space="preserve"> </w:t>
      </w:r>
    </w:p>
    <w:p w:rsidR="00070754" w:rsidRDefault="00C347EC" w:rsidP="006B74A1">
      <w:pPr>
        <w:jc w:val="both"/>
        <w:rPr>
          <w:rFonts w:ascii="Times New Roman" w:hAnsi="Times New Roman"/>
          <w:i/>
          <w:sz w:val="24"/>
          <w:szCs w:val="24"/>
        </w:rPr>
      </w:pPr>
      <w:r>
        <w:rPr>
          <w:rFonts w:ascii="Times New Roman" w:hAnsi="Times New Roman" w:cs="Times New Roman"/>
          <w:sz w:val="24"/>
          <w:szCs w:val="24"/>
        </w:rPr>
        <w:t>-</w:t>
      </w:r>
      <w:bookmarkStart w:id="0" w:name="_GoBack"/>
      <w:bookmarkEnd w:id="0"/>
      <w:r w:rsidR="00A86F0B">
        <w:rPr>
          <w:rFonts w:ascii="Times New Roman" w:hAnsi="Times New Roman" w:cs="Times New Roman"/>
          <w:sz w:val="24"/>
          <w:szCs w:val="24"/>
        </w:rPr>
        <w:t xml:space="preserve"> </w:t>
      </w:r>
      <w:r w:rsidR="00A86F0B" w:rsidRPr="007461DC">
        <w:rPr>
          <w:rFonts w:ascii="Times New Roman" w:hAnsi="Times New Roman"/>
          <w:i/>
          <w:sz w:val="24"/>
          <w:szCs w:val="24"/>
        </w:rPr>
        <w:t>prisiima atsakomybę dėl susidariusio išlaidų skirtumo padengimo</w:t>
      </w:r>
      <w:r w:rsidR="00A86F0B">
        <w:rPr>
          <w:rFonts w:ascii="Times New Roman" w:hAnsi="Times New Roman"/>
          <w:i/>
          <w:sz w:val="24"/>
          <w:szCs w:val="24"/>
        </w:rPr>
        <w:t xml:space="preserve">, tai yra jei pirkdamas </w:t>
      </w:r>
      <w:r w:rsidR="00A86F0B" w:rsidRPr="007461DC">
        <w:rPr>
          <w:rFonts w:ascii="Times New Roman" w:hAnsi="Times New Roman"/>
          <w:i/>
          <w:sz w:val="24"/>
          <w:szCs w:val="24"/>
        </w:rPr>
        <w:t>prekes, paslaugas ar darbus, t. y. pasirašydamas pirkimo – pardavimo sutartis didesnėms sumoms nei tam numatyta lėšų projekto biudžete. Projekto tinkamomis finansuoti išlaidomis galės būti pripažinta tik ta išlaidų dalis, kurios suma neviršija projekto biudžete numatytos atitinkamų prekių, paslaugų ar darbų tinkamų finansuoti išlaidų sumos</w:t>
      </w:r>
    </w:p>
    <w:p w:rsidR="00152720" w:rsidRPr="00152720" w:rsidRDefault="00152720" w:rsidP="00152720">
      <w:pPr>
        <w:jc w:val="both"/>
        <w:rPr>
          <w:rFonts w:ascii="Times New Roman" w:hAnsi="Times New Roman" w:cs="Times New Roman"/>
          <w:b/>
          <w:color w:val="FF0000"/>
          <w:sz w:val="24"/>
          <w:szCs w:val="24"/>
        </w:rPr>
      </w:pPr>
      <w:r w:rsidRPr="00152720">
        <w:rPr>
          <w:rFonts w:ascii="Times New Roman" w:hAnsi="Times New Roman" w:cs="Times New Roman"/>
          <w:b/>
          <w:sz w:val="24"/>
          <w:szCs w:val="24"/>
        </w:rPr>
        <w:t>Projekto vykdytojas prisiima atsakomybę dėl parodos atitikimo 03.2.1-LVPA-K-801 priemonės „Naujos galimybės LT“ projektų finansavimo sąlygų aprašo Nr. 2, patvirtinto Lietuvos Respublikos ūkio ministro 2016 gegužės 30 d. įsakymu Nr. 4-383 (toliau – Aprašas) reikalavimams.</w:t>
      </w:r>
    </w:p>
    <w:tbl>
      <w:tblPr>
        <w:tblStyle w:val="Lentelstinklelis"/>
        <w:tblW w:w="9016" w:type="dxa"/>
        <w:tblLook w:val="04A0" w:firstRow="1" w:lastRow="0" w:firstColumn="1" w:lastColumn="0" w:noHBand="0" w:noVBand="1"/>
      </w:tblPr>
      <w:tblGrid>
        <w:gridCol w:w="570"/>
        <w:gridCol w:w="3678"/>
        <w:gridCol w:w="2268"/>
        <w:gridCol w:w="2500"/>
      </w:tblGrid>
      <w:tr w:rsidR="00152720" w:rsidTr="00152720">
        <w:tc>
          <w:tcPr>
            <w:tcW w:w="570" w:type="dxa"/>
          </w:tcPr>
          <w:p w:rsidR="00152720" w:rsidRDefault="00152720" w:rsidP="004A5AD9">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3678" w:type="dxa"/>
          </w:tcPr>
          <w:p w:rsidR="00152720" w:rsidRPr="009A7D01" w:rsidRDefault="00152720" w:rsidP="004A5AD9">
            <w:pPr>
              <w:jc w:val="center"/>
              <w:rPr>
                <w:rFonts w:ascii="Times New Roman" w:hAnsi="Times New Roman" w:cs="Times New Roman"/>
                <w:b/>
                <w:sz w:val="24"/>
                <w:szCs w:val="24"/>
              </w:rPr>
            </w:pPr>
            <w:r>
              <w:rPr>
                <w:rFonts w:ascii="Times New Roman" w:hAnsi="Times New Roman" w:cs="Times New Roman"/>
                <w:b/>
                <w:sz w:val="24"/>
                <w:szCs w:val="24"/>
              </w:rPr>
              <w:t>Parodų p</w:t>
            </w:r>
            <w:r w:rsidRPr="009A7D01">
              <w:rPr>
                <w:rFonts w:ascii="Times New Roman" w:hAnsi="Times New Roman" w:cs="Times New Roman"/>
                <w:b/>
                <w:sz w:val="24"/>
                <w:szCs w:val="24"/>
              </w:rPr>
              <w:t>akeitimai</w:t>
            </w:r>
          </w:p>
        </w:tc>
        <w:tc>
          <w:tcPr>
            <w:tcW w:w="2268" w:type="dxa"/>
          </w:tcPr>
          <w:p w:rsidR="00152720" w:rsidRPr="00152720" w:rsidRDefault="00152720" w:rsidP="00A86F0B">
            <w:pPr>
              <w:jc w:val="center"/>
              <w:rPr>
                <w:rFonts w:ascii="Times New Roman" w:hAnsi="Times New Roman" w:cs="Times New Roman"/>
                <w:b/>
                <w:sz w:val="24"/>
                <w:szCs w:val="24"/>
              </w:rPr>
            </w:pPr>
            <w:r w:rsidRPr="00152720">
              <w:rPr>
                <w:rFonts w:ascii="Times New Roman" w:hAnsi="Times New Roman" w:cs="Times New Roman"/>
                <w:b/>
                <w:sz w:val="24"/>
                <w:szCs w:val="24"/>
              </w:rPr>
              <w:t xml:space="preserve">Atsakoma per DMS </w:t>
            </w:r>
          </w:p>
        </w:tc>
        <w:tc>
          <w:tcPr>
            <w:tcW w:w="2500" w:type="dxa"/>
          </w:tcPr>
          <w:p w:rsidR="00152720" w:rsidRPr="00152720" w:rsidRDefault="00152720" w:rsidP="004A5AD9">
            <w:pPr>
              <w:jc w:val="center"/>
              <w:rPr>
                <w:rFonts w:ascii="Times New Roman" w:hAnsi="Times New Roman" w:cs="Times New Roman"/>
                <w:b/>
                <w:sz w:val="24"/>
                <w:szCs w:val="24"/>
              </w:rPr>
            </w:pPr>
            <w:r w:rsidRPr="00152720">
              <w:rPr>
                <w:rFonts w:ascii="Times New Roman" w:hAnsi="Times New Roman" w:cs="Times New Roman"/>
                <w:b/>
                <w:sz w:val="24"/>
                <w:szCs w:val="24"/>
              </w:rPr>
              <w:t>Tvirtinama su Mokėjimo prašymu</w:t>
            </w:r>
          </w:p>
        </w:tc>
      </w:tr>
      <w:tr w:rsidR="00152720" w:rsidTr="00152720">
        <w:tc>
          <w:tcPr>
            <w:tcW w:w="570" w:type="dxa"/>
          </w:tcPr>
          <w:p w:rsidR="00152720" w:rsidRDefault="00152720" w:rsidP="004A5AD9">
            <w:pPr>
              <w:rPr>
                <w:rFonts w:ascii="Times New Roman" w:hAnsi="Times New Roman" w:cs="Times New Roman"/>
                <w:sz w:val="24"/>
                <w:szCs w:val="24"/>
              </w:rPr>
            </w:pPr>
            <w:r>
              <w:rPr>
                <w:rFonts w:ascii="Times New Roman" w:hAnsi="Times New Roman" w:cs="Times New Roman"/>
                <w:sz w:val="24"/>
                <w:szCs w:val="24"/>
              </w:rPr>
              <w:t>1.</w:t>
            </w:r>
          </w:p>
        </w:tc>
        <w:tc>
          <w:tcPr>
            <w:tcW w:w="3678" w:type="dxa"/>
          </w:tcPr>
          <w:p w:rsidR="00152720" w:rsidRDefault="00152720" w:rsidP="00A86F0B">
            <w:pPr>
              <w:rPr>
                <w:rFonts w:ascii="Times New Roman" w:hAnsi="Times New Roman" w:cs="Times New Roman"/>
                <w:sz w:val="24"/>
                <w:szCs w:val="24"/>
              </w:rPr>
            </w:pPr>
            <w:r>
              <w:rPr>
                <w:rFonts w:ascii="Times New Roman" w:hAnsi="Times New Roman" w:cs="Times New Roman"/>
                <w:sz w:val="24"/>
                <w:szCs w:val="24"/>
              </w:rPr>
              <w:t>Jei Projekto vykdytojas kreipiasi dėl parodos keitimo</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raštu iki Mokėjimo prašymo teikimo* </w:t>
            </w:r>
          </w:p>
          <w:p w:rsidR="00152720" w:rsidRDefault="00152720" w:rsidP="00A86F0B">
            <w:pPr>
              <w:rPr>
                <w:rFonts w:ascii="Times New Roman" w:hAnsi="Times New Roman" w:cs="Times New Roman"/>
                <w:sz w:val="24"/>
                <w:szCs w:val="24"/>
              </w:rPr>
            </w:pPr>
          </w:p>
        </w:tc>
        <w:tc>
          <w:tcPr>
            <w:tcW w:w="2268" w:type="dxa"/>
          </w:tcPr>
          <w:p w:rsidR="00152720" w:rsidRDefault="00152720" w:rsidP="004A5AD9">
            <w:pPr>
              <w:jc w:val="center"/>
              <w:rPr>
                <w:rFonts w:ascii="Times New Roman" w:hAnsi="Times New Roman" w:cs="Times New Roman"/>
                <w:sz w:val="24"/>
                <w:szCs w:val="24"/>
              </w:rPr>
            </w:pPr>
            <w:r>
              <w:rPr>
                <w:rFonts w:ascii="Times New Roman" w:hAnsi="Times New Roman" w:cs="Times New Roman"/>
                <w:sz w:val="24"/>
                <w:szCs w:val="24"/>
              </w:rPr>
              <w:t>X</w:t>
            </w:r>
          </w:p>
        </w:tc>
        <w:tc>
          <w:tcPr>
            <w:tcW w:w="2500" w:type="dxa"/>
          </w:tcPr>
          <w:p w:rsidR="00152720" w:rsidRDefault="00152720" w:rsidP="004A5AD9">
            <w:pPr>
              <w:jc w:val="center"/>
              <w:rPr>
                <w:rFonts w:ascii="Times New Roman" w:hAnsi="Times New Roman" w:cs="Times New Roman"/>
                <w:sz w:val="24"/>
                <w:szCs w:val="24"/>
              </w:rPr>
            </w:pPr>
          </w:p>
        </w:tc>
      </w:tr>
      <w:tr w:rsidR="00152720" w:rsidTr="00152720">
        <w:tc>
          <w:tcPr>
            <w:tcW w:w="570" w:type="dxa"/>
          </w:tcPr>
          <w:p w:rsidR="00152720" w:rsidRDefault="00152720" w:rsidP="004A5AD9">
            <w:pPr>
              <w:rPr>
                <w:rFonts w:ascii="Times New Roman" w:hAnsi="Times New Roman" w:cs="Times New Roman"/>
                <w:sz w:val="24"/>
                <w:szCs w:val="24"/>
              </w:rPr>
            </w:pPr>
            <w:r>
              <w:rPr>
                <w:rFonts w:ascii="Times New Roman" w:hAnsi="Times New Roman" w:cs="Times New Roman"/>
                <w:sz w:val="24"/>
                <w:szCs w:val="24"/>
              </w:rPr>
              <w:t>2.</w:t>
            </w:r>
          </w:p>
        </w:tc>
        <w:tc>
          <w:tcPr>
            <w:tcW w:w="3678" w:type="dxa"/>
          </w:tcPr>
          <w:p w:rsidR="00152720" w:rsidRDefault="00152720" w:rsidP="00A86F0B">
            <w:pPr>
              <w:rPr>
                <w:rFonts w:ascii="Times New Roman" w:hAnsi="Times New Roman" w:cs="Times New Roman"/>
                <w:sz w:val="24"/>
                <w:szCs w:val="24"/>
              </w:rPr>
            </w:pPr>
            <w:r>
              <w:rPr>
                <w:rFonts w:ascii="Times New Roman" w:hAnsi="Times New Roman" w:cs="Times New Roman"/>
                <w:sz w:val="24"/>
                <w:szCs w:val="24"/>
              </w:rPr>
              <w:t>Projekto parodos keitimas</w:t>
            </w:r>
            <w:r>
              <w:rPr>
                <w:rFonts w:ascii="Times New Roman" w:hAnsi="Times New Roman" w:cs="Times New Roman"/>
                <w:sz w:val="24"/>
                <w:szCs w:val="24"/>
                <w:lang w:val="en-US"/>
              </w:rPr>
              <w:t>*</w:t>
            </w:r>
            <w:r>
              <w:rPr>
                <w:rFonts w:ascii="Times New Roman" w:hAnsi="Times New Roman" w:cs="Times New Roman"/>
                <w:sz w:val="24"/>
                <w:szCs w:val="24"/>
              </w:rPr>
              <w:t xml:space="preserve"> teikiamas su Mokėjimo prašymu</w:t>
            </w:r>
          </w:p>
          <w:p w:rsidR="00152720" w:rsidRDefault="00152720" w:rsidP="00A86F0B">
            <w:pPr>
              <w:rPr>
                <w:rFonts w:ascii="Times New Roman" w:hAnsi="Times New Roman" w:cs="Times New Roman"/>
                <w:sz w:val="24"/>
                <w:szCs w:val="24"/>
              </w:rPr>
            </w:pPr>
          </w:p>
        </w:tc>
        <w:tc>
          <w:tcPr>
            <w:tcW w:w="2268" w:type="dxa"/>
          </w:tcPr>
          <w:p w:rsidR="00152720" w:rsidRDefault="00152720" w:rsidP="004A5AD9">
            <w:pPr>
              <w:jc w:val="center"/>
              <w:rPr>
                <w:rFonts w:ascii="Times New Roman" w:hAnsi="Times New Roman" w:cs="Times New Roman"/>
                <w:sz w:val="24"/>
                <w:szCs w:val="24"/>
              </w:rPr>
            </w:pPr>
          </w:p>
        </w:tc>
        <w:tc>
          <w:tcPr>
            <w:tcW w:w="2500" w:type="dxa"/>
          </w:tcPr>
          <w:p w:rsidR="00152720" w:rsidRDefault="00152720" w:rsidP="004A5AD9">
            <w:pPr>
              <w:jc w:val="center"/>
              <w:rPr>
                <w:rFonts w:ascii="Times New Roman" w:hAnsi="Times New Roman" w:cs="Times New Roman"/>
                <w:sz w:val="24"/>
                <w:szCs w:val="24"/>
              </w:rPr>
            </w:pPr>
            <w:r>
              <w:rPr>
                <w:rFonts w:ascii="Times New Roman" w:hAnsi="Times New Roman" w:cs="Times New Roman"/>
                <w:sz w:val="24"/>
                <w:szCs w:val="24"/>
              </w:rPr>
              <w:t>X</w:t>
            </w:r>
          </w:p>
        </w:tc>
      </w:tr>
      <w:tr w:rsidR="00152720" w:rsidTr="00236584">
        <w:tc>
          <w:tcPr>
            <w:tcW w:w="9016" w:type="dxa"/>
            <w:gridSpan w:val="4"/>
          </w:tcPr>
          <w:p w:rsidR="00152720" w:rsidRDefault="00152720" w:rsidP="00152720">
            <w:pPr>
              <w:jc w:val="both"/>
              <w:rPr>
                <w:rFonts w:ascii="Times New Roman" w:hAnsi="Times New Roman" w:cs="Times New Roman"/>
                <w:sz w:val="24"/>
                <w:szCs w:val="24"/>
                <w:lang w:val="en-US"/>
              </w:rPr>
            </w:pPr>
          </w:p>
          <w:p w:rsidR="00152720" w:rsidRDefault="00152720" w:rsidP="00152720">
            <w:pPr>
              <w:jc w:val="both"/>
              <w:rPr>
                <w:rFonts w:ascii="Times New Roman" w:hAnsi="Times New Roman" w:cs="Times New Roman"/>
                <w:sz w:val="24"/>
                <w:szCs w:val="24"/>
              </w:rPr>
            </w:pPr>
            <w:r>
              <w:rPr>
                <w:rFonts w:ascii="Times New Roman" w:hAnsi="Times New Roman" w:cs="Times New Roman"/>
                <w:sz w:val="24"/>
                <w:szCs w:val="24"/>
                <w:lang w:val="en-US"/>
              </w:rPr>
              <w:t>*</w:t>
            </w:r>
            <w:r w:rsidRPr="005C48D8">
              <w:rPr>
                <w:rFonts w:ascii="Times New Roman" w:hAnsi="Times New Roman" w:cs="Times New Roman"/>
                <w:sz w:val="24"/>
                <w:szCs w:val="24"/>
              </w:rPr>
              <w:t>Galimi parodos keitimo atvejai:</w:t>
            </w:r>
          </w:p>
          <w:p w:rsidR="00152720" w:rsidRDefault="00152720" w:rsidP="00152720">
            <w:pPr>
              <w:jc w:val="both"/>
              <w:rPr>
                <w:rFonts w:ascii="Times New Roman" w:hAnsi="Times New Roman" w:cs="Times New Roman"/>
                <w:sz w:val="24"/>
                <w:szCs w:val="24"/>
              </w:rPr>
            </w:pPr>
            <w:r>
              <w:rPr>
                <w:rFonts w:ascii="Times New Roman" w:hAnsi="Times New Roman" w:cs="Times New Roman"/>
                <w:sz w:val="24"/>
                <w:szCs w:val="24"/>
              </w:rPr>
              <w:t>- parodos keitimas, neturintis įtakos fiksuotojo įkainio dydžiui;</w:t>
            </w:r>
          </w:p>
          <w:p w:rsidR="00152720" w:rsidRDefault="00152720" w:rsidP="00152720">
            <w:pPr>
              <w:jc w:val="both"/>
              <w:rPr>
                <w:rFonts w:ascii="Times New Roman" w:hAnsi="Times New Roman" w:cs="Times New Roman"/>
                <w:sz w:val="24"/>
                <w:szCs w:val="24"/>
              </w:rPr>
            </w:pPr>
            <w:r>
              <w:rPr>
                <w:rFonts w:ascii="Times New Roman" w:hAnsi="Times New Roman" w:cs="Times New Roman"/>
                <w:sz w:val="24"/>
                <w:szCs w:val="24"/>
              </w:rPr>
              <w:t>- parodos ir fiksuotojo įkainio keitimas iš didesnio į mažesnį įkainį, kai projekto vykdytojas neprašo mažinti finansavimo sumos;</w:t>
            </w:r>
          </w:p>
          <w:p w:rsidR="00152720" w:rsidRDefault="00152720" w:rsidP="00152720">
            <w:pPr>
              <w:jc w:val="both"/>
              <w:rPr>
                <w:rFonts w:ascii="Times New Roman" w:hAnsi="Times New Roman" w:cs="Times New Roman"/>
                <w:sz w:val="24"/>
                <w:szCs w:val="24"/>
              </w:rPr>
            </w:pPr>
            <w:r>
              <w:rPr>
                <w:rFonts w:ascii="Times New Roman" w:hAnsi="Times New Roman" w:cs="Times New Roman"/>
                <w:sz w:val="24"/>
                <w:szCs w:val="24"/>
              </w:rPr>
              <w:t>- parodos ir fiksuotojo įkainio keitimas iš mažesnio į didesnį įkainį;</w:t>
            </w:r>
          </w:p>
          <w:p w:rsidR="00152720" w:rsidRDefault="00152720" w:rsidP="00152720">
            <w:pPr>
              <w:jc w:val="both"/>
              <w:rPr>
                <w:rFonts w:ascii="Times New Roman" w:hAnsi="Times New Roman"/>
                <w:spacing w:val="2"/>
                <w:sz w:val="24"/>
                <w:szCs w:val="24"/>
                <w:lang w:eastAsia="lt-LT"/>
              </w:rPr>
            </w:pPr>
            <w:r>
              <w:rPr>
                <w:rFonts w:ascii="Times New Roman" w:hAnsi="Times New Roman" w:cs="Times New Roman"/>
                <w:sz w:val="24"/>
                <w:szCs w:val="24"/>
              </w:rPr>
              <w:t xml:space="preserve">- parodos ir fiksuotojo įkainio keitimas iš mažesnio įkainio į didesnį, kai turi sutaupymų (dėl </w:t>
            </w:r>
            <w:r w:rsidRPr="006F1D97">
              <w:rPr>
                <w:rFonts w:ascii="Times New Roman" w:hAnsi="Times New Roman"/>
                <w:spacing w:val="2"/>
                <w:sz w:val="24"/>
                <w:szCs w:val="24"/>
                <w:lang w:eastAsia="lt-LT"/>
              </w:rPr>
              <w:t>mažesni</w:t>
            </w:r>
            <w:r>
              <w:rPr>
                <w:rFonts w:ascii="Times New Roman" w:hAnsi="Times New Roman"/>
                <w:spacing w:val="2"/>
                <w:sz w:val="24"/>
                <w:szCs w:val="24"/>
                <w:lang w:eastAsia="lt-LT"/>
              </w:rPr>
              <w:t>ų</w:t>
            </w:r>
            <w:r w:rsidRPr="006F1D97">
              <w:rPr>
                <w:rFonts w:ascii="Times New Roman" w:hAnsi="Times New Roman"/>
                <w:spacing w:val="2"/>
                <w:sz w:val="24"/>
                <w:szCs w:val="24"/>
                <w:lang w:eastAsia="lt-LT"/>
              </w:rPr>
              <w:t xml:space="preserve"> fiksuotųjų įkainių dydži</w:t>
            </w:r>
            <w:r>
              <w:rPr>
                <w:rFonts w:ascii="Times New Roman" w:hAnsi="Times New Roman"/>
                <w:spacing w:val="2"/>
                <w:sz w:val="24"/>
                <w:szCs w:val="24"/>
                <w:lang w:eastAsia="lt-LT"/>
              </w:rPr>
              <w:t>ų,</w:t>
            </w:r>
            <w:r w:rsidRPr="006F1D97">
              <w:rPr>
                <w:rFonts w:ascii="Times New Roman" w:hAnsi="Times New Roman"/>
                <w:spacing w:val="2"/>
                <w:sz w:val="24"/>
                <w:szCs w:val="24"/>
                <w:lang w:eastAsia="lt-LT"/>
              </w:rPr>
              <w:t xml:space="preserve"> ne</w:t>
            </w:r>
            <w:r>
              <w:rPr>
                <w:rFonts w:ascii="Times New Roman" w:hAnsi="Times New Roman"/>
                <w:spacing w:val="2"/>
                <w:sz w:val="24"/>
                <w:szCs w:val="24"/>
                <w:lang w:eastAsia="lt-LT"/>
              </w:rPr>
              <w:t>i</w:t>
            </w:r>
            <w:r w:rsidRPr="006F1D97">
              <w:rPr>
                <w:rFonts w:ascii="Times New Roman" w:hAnsi="Times New Roman"/>
                <w:spacing w:val="2"/>
                <w:sz w:val="24"/>
                <w:szCs w:val="24"/>
                <w:lang w:eastAsia="lt-LT"/>
              </w:rPr>
              <w:t xml:space="preserve"> nurodyt</w:t>
            </w:r>
            <w:r>
              <w:rPr>
                <w:rFonts w:ascii="Times New Roman" w:hAnsi="Times New Roman"/>
                <w:spacing w:val="2"/>
                <w:sz w:val="24"/>
                <w:szCs w:val="24"/>
                <w:lang w:eastAsia="lt-LT"/>
              </w:rPr>
              <w:t>a</w:t>
            </w:r>
            <w:r w:rsidRPr="006F1D97">
              <w:rPr>
                <w:rFonts w:ascii="Times New Roman" w:hAnsi="Times New Roman"/>
                <w:spacing w:val="2"/>
                <w:sz w:val="24"/>
                <w:szCs w:val="24"/>
                <w:lang w:eastAsia="lt-LT"/>
              </w:rPr>
              <w:t xml:space="preserve"> Metodinių nurodymų dėl fiksuotųjų įkainių taikymo 13 punkte</w:t>
            </w:r>
            <w:r>
              <w:rPr>
                <w:rFonts w:ascii="Times New Roman" w:hAnsi="Times New Roman"/>
                <w:spacing w:val="2"/>
                <w:sz w:val="24"/>
                <w:szCs w:val="24"/>
                <w:lang w:eastAsia="lt-LT"/>
              </w:rPr>
              <w:t xml:space="preserve"> ar kt.).</w:t>
            </w:r>
          </w:p>
          <w:p w:rsidR="00152720" w:rsidRDefault="00152720" w:rsidP="004A5AD9">
            <w:pPr>
              <w:jc w:val="center"/>
              <w:rPr>
                <w:rFonts w:ascii="Times New Roman" w:hAnsi="Times New Roman" w:cs="Times New Roman"/>
                <w:sz w:val="24"/>
                <w:szCs w:val="24"/>
              </w:rPr>
            </w:pPr>
          </w:p>
        </w:tc>
      </w:tr>
    </w:tbl>
    <w:p w:rsidR="0066339E" w:rsidRDefault="0066339E" w:rsidP="00A86F0B">
      <w:pPr>
        <w:spacing w:after="0"/>
        <w:jc w:val="both"/>
        <w:rPr>
          <w:rFonts w:ascii="Times New Roman" w:hAnsi="Times New Roman" w:cs="Times New Roman"/>
          <w:sz w:val="24"/>
          <w:szCs w:val="24"/>
        </w:rPr>
      </w:pPr>
    </w:p>
    <w:p w:rsidR="00152720" w:rsidRDefault="00152720" w:rsidP="006B74A1">
      <w:pPr>
        <w:jc w:val="both"/>
        <w:rPr>
          <w:rFonts w:ascii="Times New Roman" w:hAnsi="Times New Roman" w:cs="Times New Roman"/>
          <w:b/>
          <w:sz w:val="24"/>
          <w:szCs w:val="24"/>
          <w:u w:val="single"/>
        </w:rPr>
      </w:pPr>
    </w:p>
    <w:p w:rsidR="00152720" w:rsidRDefault="00152720" w:rsidP="006B74A1">
      <w:pPr>
        <w:jc w:val="both"/>
        <w:rPr>
          <w:rFonts w:ascii="Times New Roman" w:hAnsi="Times New Roman" w:cs="Times New Roman"/>
          <w:b/>
          <w:sz w:val="24"/>
          <w:szCs w:val="24"/>
          <w:u w:val="single"/>
        </w:rPr>
      </w:pPr>
      <w:r w:rsidRPr="00152720">
        <w:rPr>
          <w:rFonts w:ascii="Times New Roman" w:hAnsi="Times New Roman" w:cs="Times New Roman"/>
          <w:b/>
          <w:sz w:val="24"/>
          <w:szCs w:val="24"/>
          <w:u w:val="single"/>
        </w:rPr>
        <w:t>Sutarčių keitimo atvejai:</w:t>
      </w:r>
    </w:p>
    <w:tbl>
      <w:tblPr>
        <w:tblStyle w:val="Lentelstinklelis"/>
        <w:tblW w:w="9067" w:type="dxa"/>
        <w:tblLook w:val="04A0" w:firstRow="1" w:lastRow="0" w:firstColumn="1" w:lastColumn="0" w:noHBand="0" w:noVBand="1"/>
      </w:tblPr>
      <w:tblGrid>
        <w:gridCol w:w="562"/>
        <w:gridCol w:w="8"/>
        <w:gridCol w:w="4103"/>
        <w:gridCol w:w="2268"/>
        <w:gridCol w:w="2126"/>
      </w:tblGrid>
      <w:tr w:rsidR="00152720" w:rsidTr="00152720">
        <w:tc>
          <w:tcPr>
            <w:tcW w:w="570" w:type="dxa"/>
            <w:gridSpan w:val="2"/>
          </w:tcPr>
          <w:p w:rsidR="00152720" w:rsidRDefault="00152720" w:rsidP="004466F8">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4103" w:type="dxa"/>
          </w:tcPr>
          <w:p w:rsidR="00152720" w:rsidRPr="009A7D01" w:rsidRDefault="00152720" w:rsidP="004466F8">
            <w:pPr>
              <w:jc w:val="center"/>
              <w:rPr>
                <w:rFonts w:ascii="Times New Roman" w:hAnsi="Times New Roman" w:cs="Times New Roman"/>
                <w:b/>
                <w:sz w:val="24"/>
                <w:szCs w:val="24"/>
              </w:rPr>
            </w:pPr>
            <w:r>
              <w:rPr>
                <w:rFonts w:ascii="Times New Roman" w:hAnsi="Times New Roman" w:cs="Times New Roman"/>
                <w:b/>
                <w:sz w:val="24"/>
                <w:szCs w:val="24"/>
              </w:rPr>
              <w:t>Parodų p</w:t>
            </w:r>
            <w:r w:rsidRPr="009A7D01">
              <w:rPr>
                <w:rFonts w:ascii="Times New Roman" w:hAnsi="Times New Roman" w:cs="Times New Roman"/>
                <w:b/>
                <w:sz w:val="24"/>
                <w:szCs w:val="24"/>
              </w:rPr>
              <w:t>akeitimai</w:t>
            </w:r>
          </w:p>
        </w:tc>
        <w:tc>
          <w:tcPr>
            <w:tcW w:w="2268" w:type="dxa"/>
          </w:tcPr>
          <w:p w:rsidR="00152720" w:rsidRPr="00152720" w:rsidRDefault="00152720" w:rsidP="004466F8">
            <w:pPr>
              <w:jc w:val="center"/>
              <w:rPr>
                <w:rFonts w:ascii="Times New Roman" w:hAnsi="Times New Roman" w:cs="Times New Roman"/>
                <w:b/>
                <w:sz w:val="24"/>
                <w:szCs w:val="24"/>
              </w:rPr>
            </w:pPr>
            <w:r w:rsidRPr="00152720">
              <w:rPr>
                <w:rFonts w:ascii="Times New Roman" w:hAnsi="Times New Roman" w:cs="Times New Roman"/>
                <w:b/>
                <w:sz w:val="24"/>
                <w:szCs w:val="24"/>
              </w:rPr>
              <w:t>Neesminis sutarties pakeitimas</w:t>
            </w:r>
          </w:p>
        </w:tc>
        <w:tc>
          <w:tcPr>
            <w:tcW w:w="2126" w:type="dxa"/>
          </w:tcPr>
          <w:p w:rsidR="00152720" w:rsidRPr="00152720" w:rsidRDefault="00152720" w:rsidP="004466F8">
            <w:pPr>
              <w:jc w:val="center"/>
              <w:rPr>
                <w:rFonts w:ascii="Times New Roman" w:hAnsi="Times New Roman" w:cs="Times New Roman"/>
                <w:b/>
                <w:sz w:val="24"/>
                <w:szCs w:val="24"/>
              </w:rPr>
            </w:pPr>
            <w:r w:rsidRPr="00152720">
              <w:rPr>
                <w:rFonts w:ascii="Times New Roman" w:hAnsi="Times New Roman" w:cs="Times New Roman"/>
                <w:b/>
                <w:sz w:val="24"/>
                <w:szCs w:val="24"/>
              </w:rPr>
              <w:t>Esminis sutarties pakeitimas</w:t>
            </w:r>
          </w:p>
        </w:tc>
      </w:tr>
      <w:tr w:rsidR="00152720" w:rsidTr="00152720">
        <w:tc>
          <w:tcPr>
            <w:tcW w:w="562" w:type="dxa"/>
          </w:tcPr>
          <w:p w:rsidR="00152720" w:rsidRDefault="00152720" w:rsidP="004466F8">
            <w:pPr>
              <w:rPr>
                <w:rFonts w:ascii="Times New Roman" w:hAnsi="Times New Roman" w:cs="Times New Roman"/>
                <w:sz w:val="24"/>
                <w:szCs w:val="24"/>
              </w:rPr>
            </w:pPr>
            <w:r>
              <w:rPr>
                <w:rFonts w:ascii="Times New Roman" w:hAnsi="Times New Roman" w:cs="Times New Roman"/>
                <w:sz w:val="24"/>
                <w:szCs w:val="24"/>
              </w:rPr>
              <w:t>1.</w:t>
            </w:r>
          </w:p>
        </w:tc>
        <w:tc>
          <w:tcPr>
            <w:tcW w:w="4111" w:type="dxa"/>
            <w:gridSpan w:val="2"/>
          </w:tcPr>
          <w:p w:rsidR="00152720" w:rsidRDefault="00152720" w:rsidP="004466F8">
            <w:pPr>
              <w:rPr>
                <w:rFonts w:ascii="Times New Roman" w:hAnsi="Times New Roman" w:cs="Times New Roman"/>
                <w:sz w:val="24"/>
                <w:szCs w:val="24"/>
              </w:rPr>
            </w:pPr>
            <w:r>
              <w:rPr>
                <w:rFonts w:ascii="Times New Roman" w:hAnsi="Times New Roman" w:cs="Times New Roman"/>
                <w:sz w:val="24"/>
                <w:szCs w:val="24"/>
              </w:rPr>
              <w:t>Projekto parodos ir fiksuotojo įkainio keitimas iš didesnio į mažesnį, kai projekto vykdytojas prašo mažinti Projekto finansavimo sumą</w:t>
            </w:r>
          </w:p>
        </w:tc>
        <w:tc>
          <w:tcPr>
            <w:tcW w:w="2268" w:type="dxa"/>
          </w:tcPr>
          <w:p w:rsidR="00152720" w:rsidRDefault="00152720" w:rsidP="004466F8">
            <w:pPr>
              <w:jc w:val="center"/>
              <w:rPr>
                <w:rFonts w:ascii="Times New Roman" w:hAnsi="Times New Roman" w:cs="Times New Roman"/>
                <w:sz w:val="24"/>
                <w:szCs w:val="24"/>
              </w:rPr>
            </w:pPr>
            <w:r>
              <w:rPr>
                <w:rFonts w:ascii="Times New Roman" w:hAnsi="Times New Roman" w:cs="Times New Roman"/>
                <w:sz w:val="24"/>
                <w:szCs w:val="24"/>
              </w:rPr>
              <w:t>X</w:t>
            </w:r>
          </w:p>
        </w:tc>
        <w:tc>
          <w:tcPr>
            <w:tcW w:w="2126" w:type="dxa"/>
          </w:tcPr>
          <w:p w:rsidR="00152720" w:rsidRDefault="00152720" w:rsidP="004466F8">
            <w:pPr>
              <w:jc w:val="center"/>
              <w:rPr>
                <w:rFonts w:ascii="Times New Roman" w:hAnsi="Times New Roman" w:cs="Times New Roman"/>
                <w:sz w:val="24"/>
                <w:szCs w:val="24"/>
              </w:rPr>
            </w:pPr>
          </w:p>
        </w:tc>
      </w:tr>
      <w:tr w:rsidR="00152720" w:rsidTr="00152720">
        <w:tc>
          <w:tcPr>
            <w:tcW w:w="562" w:type="dxa"/>
          </w:tcPr>
          <w:p w:rsidR="00152720" w:rsidRDefault="00152720" w:rsidP="004466F8">
            <w:pPr>
              <w:rPr>
                <w:rFonts w:ascii="Times New Roman" w:hAnsi="Times New Roman" w:cs="Times New Roman"/>
                <w:sz w:val="24"/>
                <w:szCs w:val="24"/>
              </w:rPr>
            </w:pPr>
            <w:r>
              <w:rPr>
                <w:rFonts w:ascii="Times New Roman" w:hAnsi="Times New Roman" w:cs="Times New Roman"/>
                <w:sz w:val="24"/>
                <w:szCs w:val="24"/>
              </w:rPr>
              <w:t>2.</w:t>
            </w:r>
          </w:p>
        </w:tc>
        <w:tc>
          <w:tcPr>
            <w:tcW w:w="4111" w:type="dxa"/>
            <w:gridSpan w:val="2"/>
          </w:tcPr>
          <w:p w:rsidR="00152720" w:rsidRDefault="00152720" w:rsidP="004466F8">
            <w:pPr>
              <w:rPr>
                <w:rFonts w:ascii="Times New Roman" w:hAnsi="Times New Roman" w:cs="Times New Roman"/>
                <w:sz w:val="24"/>
                <w:szCs w:val="24"/>
              </w:rPr>
            </w:pPr>
            <w:r>
              <w:rPr>
                <w:rFonts w:ascii="Times New Roman" w:hAnsi="Times New Roman" w:cs="Times New Roman"/>
                <w:sz w:val="24"/>
                <w:szCs w:val="24"/>
              </w:rPr>
              <w:t>Projekto parodos keitimas, keičiant projekto įgyvendinimo laikotarpį mažiau nei 6 mėn.</w:t>
            </w:r>
          </w:p>
        </w:tc>
        <w:tc>
          <w:tcPr>
            <w:tcW w:w="2268" w:type="dxa"/>
          </w:tcPr>
          <w:p w:rsidR="00152720" w:rsidRDefault="00152720" w:rsidP="004466F8">
            <w:pPr>
              <w:jc w:val="center"/>
              <w:rPr>
                <w:rFonts w:ascii="Times New Roman" w:hAnsi="Times New Roman" w:cs="Times New Roman"/>
                <w:sz w:val="24"/>
                <w:szCs w:val="24"/>
              </w:rPr>
            </w:pPr>
            <w:r>
              <w:rPr>
                <w:rFonts w:ascii="Times New Roman" w:hAnsi="Times New Roman" w:cs="Times New Roman"/>
                <w:sz w:val="24"/>
                <w:szCs w:val="24"/>
              </w:rPr>
              <w:t>X</w:t>
            </w:r>
          </w:p>
        </w:tc>
        <w:tc>
          <w:tcPr>
            <w:tcW w:w="2126" w:type="dxa"/>
          </w:tcPr>
          <w:p w:rsidR="00152720" w:rsidRDefault="00152720" w:rsidP="004466F8">
            <w:pPr>
              <w:jc w:val="center"/>
              <w:rPr>
                <w:rFonts w:ascii="Times New Roman" w:hAnsi="Times New Roman" w:cs="Times New Roman"/>
                <w:sz w:val="24"/>
                <w:szCs w:val="24"/>
              </w:rPr>
            </w:pPr>
          </w:p>
        </w:tc>
      </w:tr>
      <w:tr w:rsidR="00152720" w:rsidTr="00152720">
        <w:tc>
          <w:tcPr>
            <w:tcW w:w="562" w:type="dxa"/>
          </w:tcPr>
          <w:p w:rsidR="00152720" w:rsidRDefault="00152720" w:rsidP="004466F8">
            <w:pPr>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rsidR="00152720" w:rsidRDefault="00152720" w:rsidP="004466F8">
            <w:pPr>
              <w:rPr>
                <w:rFonts w:ascii="Times New Roman" w:hAnsi="Times New Roman" w:cs="Times New Roman"/>
                <w:sz w:val="24"/>
                <w:szCs w:val="24"/>
              </w:rPr>
            </w:pPr>
            <w:r>
              <w:rPr>
                <w:rFonts w:ascii="Times New Roman" w:hAnsi="Times New Roman" w:cs="Times New Roman"/>
                <w:sz w:val="24"/>
                <w:szCs w:val="24"/>
              </w:rPr>
              <w:t>Projekto parodos keitimas, keičiant projekto įgyvendinimo laikotarpį daugiau nei 6 mėn.</w:t>
            </w:r>
          </w:p>
        </w:tc>
        <w:tc>
          <w:tcPr>
            <w:tcW w:w="2268" w:type="dxa"/>
          </w:tcPr>
          <w:p w:rsidR="00152720" w:rsidRDefault="00152720" w:rsidP="004466F8">
            <w:pPr>
              <w:jc w:val="center"/>
              <w:rPr>
                <w:rFonts w:ascii="Times New Roman" w:hAnsi="Times New Roman" w:cs="Times New Roman"/>
                <w:sz w:val="24"/>
                <w:szCs w:val="24"/>
              </w:rPr>
            </w:pPr>
          </w:p>
        </w:tc>
        <w:tc>
          <w:tcPr>
            <w:tcW w:w="2126" w:type="dxa"/>
          </w:tcPr>
          <w:p w:rsidR="00152720" w:rsidRDefault="00152720" w:rsidP="004466F8">
            <w:pPr>
              <w:jc w:val="center"/>
              <w:rPr>
                <w:rFonts w:ascii="Times New Roman" w:hAnsi="Times New Roman" w:cs="Times New Roman"/>
                <w:sz w:val="24"/>
                <w:szCs w:val="24"/>
              </w:rPr>
            </w:pPr>
            <w:r>
              <w:rPr>
                <w:rFonts w:ascii="Times New Roman" w:hAnsi="Times New Roman" w:cs="Times New Roman"/>
                <w:sz w:val="24"/>
                <w:szCs w:val="24"/>
              </w:rPr>
              <w:t>X</w:t>
            </w:r>
          </w:p>
        </w:tc>
      </w:tr>
      <w:tr w:rsidR="00152720" w:rsidTr="00152720">
        <w:tc>
          <w:tcPr>
            <w:tcW w:w="562" w:type="dxa"/>
          </w:tcPr>
          <w:p w:rsidR="00152720" w:rsidRDefault="00152720" w:rsidP="004466F8">
            <w:pPr>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rsidR="00152720" w:rsidRDefault="00152720" w:rsidP="004466F8">
            <w:pPr>
              <w:rPr>
                <w:rFonts w:ascii="Times New Roman" w:hAnsi="Times New Roman" w:cs="Times New Roman"/>
                <w:sz w:val="24"/>
                <w:szCs w:val="24"/>
              </w:rPr>
            </w:pPr>
            <w:r>
              <w:rPr>
                <w:rFonts w:ascii="Times New Roman" w:hAnsi="Times New Roman" w:cs="Times New Roman"/>
                <w:sz w:val="24"/>
                <w:szCs w:val="24"/>
              </w:rPr>
              <w:t>Projekto apimties keitimas, projekto vykdytojui prašant mažinti projekte numatytą parodų skaičių</w:t>
            </w:r>
          </w:p>
        </w:tc>
        <w:tc>
          <w:tcPr>
            <w:tcW w:w="2268" w:type="dxa"/>
          </w:tcPr>
          <w:p w:rsidR="00152720" w:rsidRDefault="00152720" w:rsidP="004466F8">
            <w:pPr>
              <w:jc w:val="center"/>
              <w:rPr>
                <w:rFonts w:ascii="Times New Roman" w:hAnsi="Times New Roman" w:cs="Times New Roman"/>
                <w:sz w:val="24"/>
                <w:szCs w:val="24"/>
              </w:rPr>
            </w:pPr>
          </w:p>
        </w:tc>
        <w:tc>
          <w:tcPr>
            <w:tcW w:w="2126" w:type="dxa"/>
          </w:tcPr>
          <w:p w:rsidR="00152720" w:rsidRDefault="00152720" w:rsidP="004466F8">
            <w:pPr>
              <w:jc w:val="center"/>
              <w:rPr>
                <w:rFonts w:ascii="Times New Roman" w:hAnsi="Times New Roman" w:cs="Times New Roman"/>
                <w:sz w:val="24"/>
                <w:szCs w:val="24"/>
              </w:rPr>
            </w:pPr>
            <w:r>
              <w:rPr>
                <w:rFonts w:ascii="Times New Roman" w:hAnsi="Times New Roman" w:cs="Times New Roman"/>
                <w:sz w:val="24"/>
                <w:szCs w:val="24"/>
              </w:rPr>
              <w:t>X</w:t>
            </w:r>
          </w:p>
        </w:tc>
      </w:tr>
      <w:tr w:rsidR="00152720" w:rsidTr="00152720">
        <w:tc>
          <w:tcPr>
            <w:tcW w:w="562" w:type="dxa"/>
          </w:tcPr>
          <w:p w:rsidR="00152720" w:rsidRDefault="00152720" w:rsidP="004466F8">
            <w:pPr>
              <w:rPr>
                <w:rFonts w:ascii="Times New Roman" w:hAnsi="Times New Roman" w:cs="Times New Roman"/>
                <w:sz w:val="24"/>
                <w:szCs w:val="24"/>
              </w:rPr>
            </w:pPr>
            <w:r>
              <w:rPr>
                <w:rFonts w:ascii="Times New Roman" w:hAnsi="Times New Roman" w:cs="Times New Roman"/>
                <w:sz w:val="24"/>
                <w:szCs w:val="24"/>
              </w:rPr>
              <w:t>5.</w:t>
            </w:r>
          </w:p>
        </w:tc>
        <w:tc>
          <w:tcPr>
            <w:tcW w:w="4111" w:type="dxa"/>
            <w:gridSpan w:val="2"/>
          </w:tcPr>
          <w:p w:rsidR="00152720" w:rsidRDefault="00152720" w:rsidP="004466F8">
            <w:pPr>
              <w:rPr>
                <w:rFonts w:ascii="Times New Roman" w:hAnsi="Times New Roman" w:cs="Times New Roman"/>
                <w:sz w:val="24"/>
                <w:szCs w:val="24"/>
              </w:rPr>
            </w:pPr>
            <w:r>
              <w:rPr>
                <w:rFonts w:ascii="Times New Roman" w:hAnsi="Times New Roman" w:cs="Times New Roman"/>
                <w:sz w:val="24"/>
                <w:szCs w:val="24"/>
              </w:rPr>
              <w:t xml:space="preserve">Projekto vykdytojo prašymas dalyvauti papildomose parodose iš projekto sutaupytų lėšų </w:t>
            </w:r>
          </w:p>
        </w:tc>
        <w:tc>
          <w:tcPr>
            <w:tcW w:w="2268" w:type="dxa"/>
          </w:tcPr>
          <w:p w:rsidR="00152720" w:rsidRDefault="00152720" w:rsidP="004466F8">
            <w:pPr>
              <w:jc w:val="center"/>
              <w:rPr>
                <w:rFonts w:ascii="Times New Roman" w:hAnsi="Times New Roman" w:cs="Times New Roman"/>
                <w:sz w:val="24"/>
                <w:szCs w:val="24"/>
              </w:rPr>
            </w:pPr>
          </w:p>
        </w:tc>
        <w:tc>
          <w:tcPr>
            <w:tcW w:w="2126" w:type="dxa"/>
          </w:tcPr>
          <w:p w:rsidR="00152720" w:rsidRDefault="00152720" w:rsidP="004466F8">
            <w:pPr>
              <w:jc w:val="center"/>
              <w:rPr>
                <w:rFonts w:ascii="Times New Roman" w:hAnsi="Times New Roman" w:cs="Times New Roman"/>
                <w:sz w:val="24"/>
                <w:szCs w:val="24"/>
              </w:rPr>
            </w:pPr>
            <w:r>
              <w:rPr>
                <w:rFonts w:ascii="Times New Roman" w:hAnsi="Times New Roman" w:cs="Times New Roman"/>
                <w:sz w:val="24"/>
                <w:szCs w:val="24"/>
              </w:rPr>
              <w:t>X</w:t>
            </w:r>
          </w:p>
        </w:tc>
      </w:tr>
    </w:tbl>
    <w:p w:rsidR="00152720" w:rsidRDefault="00152720" w:rsidP="006B74A1">
      <w:pPr>
        <w:jc w:val="both"/>
        <w:rPr>
          <w:rFonts w:ascii="Times New Roman" w:hAnsi="Times New Roman" w:cs="Times New Roman"/>
          <w:sz w:val="24"/>
          <w:szCs w:val="24"/>
          <w:u w:val="single"/>
        </w:rPr>
      </w:pPr>
    </w:p>
    <w:p w:rsidR="00EC7CAE" w:rsidRPr="00152720" w:rsidRDefault="00EC7CAE" w:rsidP="006B74A1">
      <w:pPr>
        <w:jc w:val="both"/>
        <w:rPr>
          <w:rFonts w:ascii="Times New Roman" w:hAnsi="Times New Roman" w:cs="Times New Roman"/>
          <w:b/>
          <w:sz w:val="24"/>
          <w:szCs w:val="24"/>
          <w:u w:val="single"/>
        </w:rPr>
      </w:pPr>
      <w:r w:rsidRPr="00152720">
        <w:rPr>
          <w:rFonts w:ascii="Times New Roman" w:hAnsi="Times New Roman" w:cs="Times New Roman"/>
          <w:b/>
          <w:sz w:val="24"/>
          <w:szCs w:val="24"/>
          <w:u w:val="single"/>
        </w:rPr>
        <w:t xml:space="preserve">Dėl mokėjimo prašymo pildymo </w:t>
      </w:r>
    </w:p>
    <w:p w:rsidR="00EC7CAE" w:rsidRDefault="007A7870" w:rsidP="006B74A1">
      <w:pPr>
        <w:jc w:val="both"/>
        <w:rPr>
          <w:rFonts w:ascii="Times New Roman" w:hAnsi="Times New Roman" w:cs="Times New Roman"/>
          <w:sz w:val="24"/>
          <w:szCs w:val="24"/>
        </w:rPr>
      </w:pPr>
      <w:r>
        <w:rPr>
          <w:rFonts w:ascii="Times New Roman" w:hAnsi="Times New Roman" w:cs="Times New Roman"/>
          <w:sz w:val="24"/>
          <w:szCs w:val="24"/>
        </w:rPr>
        <w:t xml:space="preserve">Su mokėjimo prašymu deklaruojant parodos išlaidas turi būti nurodomas taikomas fiksuotasis įkainis. </w:t>
      </w:r>
      <w:r w:rsidR="00EC7CAE">
        <w:rPr>
          <w:rFonts w:ascii="Times New Roman" w:hAnsi="Times New Roman" w:cs="Times New Roman"/>
          <w:sz w:val="24"/>
          <w:szCs w:val="24"/>
        </w:rPr>
        <w:t xml:space="preserve">Tai atvejais, kai su mokėjimo prašymu deklaruojamos daugiau nei vienos parodos išlaidos, mokėjimo prašyme kiekvienos parodos išlaidos turi būti išskirtos nurodant taikomą fiksuotąjį įkainį. Mokėjimo prašymo pildymo formą rasite </w:t>
      </w:r>
      <w:hyperlink r:id="rId4" w:history="1">
        <w:r w:rsidR="00EC7CAE" w:rsidRPr="00EC7CAE">
          <w:rPr>
            <w:rStyle w:val="Hipersaitas"/>
            <w:rFonts w:ascii="Times New Roman" w:hAnsi="Times New Roman" w:cs="Times New Roman"/>
            <w:sz w:val="24"/>
            <w:szCs w:val="24"/>
          </w:rPr>
          <w:t>čia</w:t>
        </w:r>
      </w:hyperlink>
      <w:r w:rsidR="0066339E">
        <w:rPr>
          <w:rFonts w:ascii="Times New Roman" w:hAnsi="Times New Roman" w:cs="Times New Roman"/>
          <w:sz w:val="24"/>
          <w:szCs w:val="24"/>
        </w:rPr>
        <w:t>. Ka</w:t>
      </w:r>
      <w:r w:rsidR="00E153BE">
        <w:rPr>
          <w:rFonts w:ascii="Times New Roman" w:hAnsi="Times New Roman" w:cs="Times New Roman"/>
          <w:sz w:val="24"/>
          <w:szCs w:val="24"/>
        </w:rPr>
        <w:t xml:space="preserve">rtu su mokėjimo prašymu teikiamos fiksuotųjų įkainių pažymos formą rasite </w:t>
      </w:r>
      <w:hyperlink r:id="rId5" w:history="1">
        <w:r w:rsidR="00E153BE" w:rsidRPr="00E153BE">
          <w:rPr>
            <w:rStyle w:val="Hipersaitas"/>
            <w:rFonts w:ascii="Times New Roman" w:hAnsi="Times New Roman" w:cs="Times New Roman"/>
            <w:sz w:val="24"/>
            <w:szCs w:val="24"/>
          </w:rPr>
          <w:t>čia</w:t>
        </w:r>
      </w:hyperlink>
      <w:r w:rsidR="00E153BE">
        <w:rPr>
          <w:rFonts w:ascii="Times New Roman" w:hAnsi="Times New Roman" w:cs="Times New Roman"/>
          <w:sz w:val="24"/>
          <w:szCs w:val="24"/>
        </w:rPr>
        <w:t>.</w:t>
      </w:r>
    </w:p>
    <w:p w:rsidR="00EC7CAE" w:rsidRPr="00070754" w:rsidRDefault="00EC7CAE" w:rsidP="006B74A1">
      <w:pPr>
        <w:jc w:val="both"/>
        <w:rPr>
          <w:rFonts w:ascii="Times New Roman" w:hAnsi="Times New Roman" w:cs="Times New Roman"/>
          <w:bCs/>
          <w:color w:val="000000" w:themeColor="text1"/>
          <w:sz w:val="24"/>
          <w:szCs w:val="24"/>
        </w:rPr>
      </w:pPr>
    </w:p>
    <w:sectPr w:rsidR="00EC7CAE" w:rsidRPr="0007075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54"/>
    <w:rsid w:val="00070754"/>
    <w:rsid w:val="00152720"/>
    <w:rsid w:val="004B312F"/>
    <w:rsid w:val="0066339E"/>
    <w:rsid w:val="006B74A1"/>
    <w:rsid w:val="007A7870"/>
    <w:rsid w:val="008A03CB"/>
    <w:rsid w:val="009A7D8D"/>
    <w:rsid w:val="00A86F0B"/>
    <w:rsid w:val="00AA6C19"/>
    <w:rsid w:val="00C347EC"/>
    <w:rsid w:val="00DF400A"/>
    <w:rsid w:val="00DF4FFA"/>
    <w:rsid w:val="00E153BE"/>
    <w:rsid w:val="00E362CC"/>
    <w:rsid w:val="00EC7C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BF352-40CD-485D-8385-28B8D489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C7CAE"/>
    <w:rPr>
      <w:strike w:val="0"/>
      <w:dstrike w:val="0"/>
      <w:color w:val="428BCA"/>
      <w:u w:val="none"/>
      <w:effect w:val="none"/>
      <w:shd w:val="clear" w:color="auto" w:fill="auto"/>
    </w:rPr>
  </w:style>
  <w:style w:type="character" w:styleId="Komentaronuoroda">
    <w:name w:val="annotation reference"/>
    <w:basedOn w:val="Numatytasispastraiposriftas"/>
    <w:uiPriority w:val="99"/>
    <w:semiHidden/>
    <w:unhideWhenUsed/>
    <w:rsid w:val="00EC7CAE"/>
    <w:rPr>
      <w:sz w:val="16"/>
      <w:szCs w:val="16"/>
    </w:rPr>
  </w:style>
  <w:style w:type="paragraph" w:styleId="Komentarotekstas">
    <w:name w:val="annotation text"/>
    <w:basedOn w:val="prastasis"/>
    <w:link w:val="KomentarotekstasDiagrama"/>
    <w:uiPriority w:val="99"/>
    <w:semiHidden/>
    <w:unhideWhenUsed/>
    <w:rsid w:val="00EC7CA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C7CAE"/>
    <w:rPr>
      <w:sz w:val="20"/>
      <w:szCs w:val="20"/>
    </w:rPr>
  </w:style>
  <w:style w:type="paragraph" w:styleId="Komentarotema">
    <w:name w:val="annotation subject"/>
    <w:basedOn w:val="Komentarotekstas"/>
    <w:next w:val="Komentarotekstas"/>
    <w:link w:val="KomentarotemaDiagrama"/>
    <w:uiPriority w:val="99"/>
    <w:semiHidden/>
    <w:unhideWhenUsed/>
    <w:rsid w:val="00EC7CAE"/>
    <w:rPr>
      <w:b/>
      <w:bCs/>
    </w:rPr>
  </w:style>
  <w:style w:type="character" w:customStyle="1" w:styleId="KomentarotemaDiagrama">
    <w:name w:val="Komentaro tema Diagrama"/>
    <w:basedOn w:val="KomentarotekstasDiagrama"/>
    <w:link w:val="Komentarotema"/>
    <w:uiPriority w:val="99"/>
    <w:semiHidden/>
    <w:rsid w:val="00EC7CAE"/>
    <w:rPr>
      <w:b/>
      <w:bCs/>
      <w:sz w:val="20"/>
      <w:szCs w:val="20"/>
    </w:rPr>
  </w:style>
  <w:style w:type="paragraph" w:styleId="Debesliotekstas">
    <w:name w:val="Balloon Text"/>
    <w:basedOn w:val="prastasis"/>
    <w:link w:val="DebesliotekstasDiagrama"/>
    <w:uiPriority w:val="99"/>
    <w:semiHidden/>
    <w:unhideWhenUsed/>
    <w:rsid w:val="00EC7CA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C7CAE"/>
    <w:rPr>
      <w:rFonts w:ascii="Segoe UI" w:hAnsi="Segoe UI" w:cs="Segoe UI"/>
      <w:sz w:val="18"/>
      <w:szCs w:val="18"/>
    </w:rPr>
  </w:style>
  <w:style w:type="table" w:styleId="Lentelstinklelis">
    <w:name w:val="Table Grid"/>
    <w:basedOn w:val="prastojilentel"/>
    <w:uiPriority w:val="39"/>
    <w:rsid w:val="00A8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52108">
      <w:bodyDiv w:val="1"/>
      <w:marLeft w:val="0"/>
      <w:marRight w:val="0"/>
      <w:marTop w:val="0"/>
      <w:marBottom w:val="0"/>
      <w:divBdr>
        <w:top w:val="none" w:sz="0" w:space="0" w:color="auto"/>
        <w:left w:val="none" w:sz="0" w:space="0" w:color="auto"/>
        <w:bottom w:val="none" w:sz="0" w:space="0" w:color="auto"/>
        <w:right w:val="none" w:sz="0" w:space="0" w:color="auto"/>
      </w:divBdr>
      <w:divsChild>
        <w:div w:id="646667910">
          <w:marLeft w:val="0"/>
          <w:marRight w:val="0"/>
          <w:marTop w:val="0"/>
          <w:marBottom w:val="0"/>
          <w:divBdr>
            <w:top w:val="none" w:sz="0" w:space="0" w:color="auto"/>
            <w:left w:val="none" w:sz="0" w:space="0" w:color="auto"/>
            <w:bottom w:val="none" w:sz="0" w:space="0" w:color="auto"/>
            <w:right w:val="none" w:sz="0" w:space="0" w:color="auto"/>
          </w:divBdr>
          <w:divsChild>
            <w:div w:id="1893881389">
              <w:marLeft w:val="-225"/>
              <w:marRight w:val="-225"/>
              <w:marTop w:val="0"/>
              <w:marBottom w:val="0"/>
              <w:divBdr>
                <w:top w:val="none" w:sz="0" w:space="0" w:color="auto"/>
                <w:left w:val="none" w:sz="0" w:space="0" w:color="auto"/>
                <w:bottom w:val="none" w:sz="0" w:space="0" w:color="auto"/>
                <w:right w:val="none" w:sz="0" w:space="0" w:color="auto"/>
              </w:divBdr>
              <w:divsChild>
                <w:div w:id="611211240">
                  <w:marLeft w:val="0"/>
                  <w:marRight w:val="0"/>
                  <w:marTop w:val="0"/>
                  <w:marBottom w:val="0"/>
                  <w:divBdr>
                    <w:top w:val="none" w:sz="0" w:space="0" w:color="auto"/>
                    <w:left w:val="none" w:sz="0" w:space="0" w:color="auto"/>
                    <w:bottom w:val="none" w:sz="0" w:space="0" w:color="auto"/>
                    <w:right w:val="none" w:sz="0" w:space="0" w:color="auto"/>
                  </w:divBdr>
                  <w:divsChild>
                    <w:div w:id="148130892">
                      <w:marLeft w:val="0"/>
                      <w:marRight w:val="0"/>
                      <w:marTop w:val="0"/>
                      <w:marBottom w:val="0"/>
                      <w:divBdr>
                        <w:top w:val="none" w:sz="0" w:space="0" w:color="auto"/>
                        <w:left w:val="none" w:sz="0" w:space="0" w:color="auto"/>
                        <w:bottom w:val="none" w:sz="0" w:space="0" w:color="auto"/>
                        <w:right w:val="none" w:sz="0" w:space="0" w:color="auto"/>
                      </w:divBdr>
                      <w:divsChild>
                        <w:div w:id="1513688912">
                          <w:marLeft w:val="0"/>
                          <w:marRight w:val="0"/>
                          <w:marTop w:val="0"/>
                          <w:marBottom w:val="0"/>
                          <w:divBdr>
                            <w:top w:val="none" w:sz="0" w:space="0" w:color="auto"/>
                            <w:left w:val="none" w:sz="0" w:space="0" w:color="auto"/>
                            <w:bottom w:val="none" w:sz="0" w:space="0" w:color="auto"/>
                            <w:right w:val="none" w:sz="0" w:space="0" w:color="auto"/>
                          </w:divBdr>
                          <w:divsChild>
                            <w:div w:id="798452285">
                              <w:marLeft w:val="0"/>
                              <w:marRight w:val="0"/>
                              <w:marTop w:val="0"/>
                              <w:marBottom w:val="0"/>
                              <w:divBdr>
                                <w:top w:val="none" w:sz="0" w:space="0" w:color="auto"/>
                                <w:left w:val="none" w:sz="0" w:space="0" w:color="auto"/>
                                <w:bottom w:val="none" w:sz="0" w:space="0" w:color="auto"/>
                                <w:right w:val="none" w:sz="0" w:space="0" w:color="auto"/>
                              </w:divBdr>
                              <w:divsChild>
                                <w:div w:id="1025785929">
                                  <w:marLeft w:val="0"/>
                                  <w:marRight w:val="0"/>
                                  <w:marTop w:val="0"/>
                                  <w:marBottom w:val="120"/>
                                  <w:divBdr>
                                    <w:top w:val="none" w:sz="0" w:space="0" w:color="auto"/>
                                    <w:left w:val="none" w:sz="0" w:space="0" w:color="auto"/>
                                    <w:bottom w:val="none" w:sz="0" w:space="0" w:color="auto"/>
                                    <w:right w:val="none" w:sz="0" w:space="0" w:color="auto"/>
                                  </w:divBdr>
                                </w:div>
                                <w:div w:id="1170370652">
                                  <w:marLeft w:val="0"/>
                                  <w:marRight w:val="0"/>
                                  <w:marTop w:val="0"/>
                                  <w:marBottom w:val="120"/>
                                  <w:divBdr>
                                    <w:top w:val="none" w:sz="0" w:space="0" w:color="auto"/>
                                    <w:left w:val="none" w:sz="0" w:space="0" w:color="auto"/>
                                    <w:bottom w:val="none" w:sz="0" w:space="0" w:color="auto"/>
                                    <w:right w:val="none" w:sz="0" w:space="0" w:color="auto"/>
                                  </w:divBdr>
                                </w:div>
                                <w:div w:id="280376920">
                                  <w:marLeft w:val="0"/>
                                  <w:marRight w:val="0"/>
                                  <w:marTop w:val="0"/>
                                  <w:marBottom w:val="120"/>
                                  <w:divBdr>
                                    <w:top w:val="none" w:sz="0" w:space="0" w:color="auto"/>
                                    <w:left w:val="none" w:sz="0" w:space="0" w:color="auto"/>
                                    <w:bottom w:val="none" w:sz="0" w:space="0" w:color="auto"/>
                                    <w:right w:val="none" w:sz="0" w:space="0" w:color="auto"/>
                                  </w:divBdr>
                                </w:div>
                                <w:div w:id="1449006560">
                                  <w:marLeft w:val="0"/>
                                  <w:marRight w:val="0"/>
                                  <w:marTop w:val="0"/>
                                  <w:marBottom w:val="120"/>
                                  <w:divBdr>
                                    <w:top w:val="none" w:sz="0" w:space="0" w:color="auto"/>
                                    <w:left w:val="none" w:sz="0" w:space="0" w:color="auto"/>
                                    <w:bottom w:val="none" w:sz="0" w:space="0" w:color="auto"/>
                                    <w:right w:val="none" w:sz="0" w:space="0" w:color="auto"/>
                                  </w:divBdr>
                                </w:div>
                                <w:div w:id="10579020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L:\Naujos%20galimybes%20vertinimas\NG%20projektu%20igyvendinimas\Fiksuot&#371;%20&#303;kaini&#371;%20pa&#382;yma.xlsx" TargetMode="External"/><Relationship Id="rId4" Type="http://schemas.openxmlformats.org/officeDocument/2006/relationships/hyperlink" Target="file:///L:\Naujos%20galimybes%20vertinimas\NG%20projektu%20igyvendinimas\MP%20teikimas_i&#353;laid&#371;%20pildymo%20pvz.%20deklaruojant%20daugiau%20nei%201%20parod&#261;.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2569</Words>
  <Characters>1465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Lauciute-Ledovskojiene Daina</dc:creator>
  <cp:keywords/>
  <dc:description/>
  <cp:lastModifiedBy>Liubiniene Ausra</cp:lastModifiedBy>
  <cp:revision>4</cp:revision>
  <dcterms:created xsi:type="dcterms:W3CDTF">2017-03-16T08:22:00Z</dcterms:created>
  <dcterms:modified xsi:type="dcterms:W3CDTF">2017-03-17T11:33:00Z</dcterms:modified>
</cp:coreProperties>
</file>