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019C" w14:textId="77777777" w:rsidR="00923658" w:rsidRPr="00DF52F7" w:rsidRDefault="00180543" w:rsidP="00AB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sz w:val="24"/>
          <w:szCs w:val="24"/>
          <w:lang w:val="lt-LT"/>
        </w:rPr>
        <w:t>SUDERINTA</w:t>
      </w:r>
      <w:r w:rsidR="00923658"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BB79D34" w14:textId="77777777" w:rsidR="00923658" w:rsidRPr="00DF52F7" w:rsidRDefault="00923658" w:rsidP="00AB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ūkio ministras </w:t>
      </w:r>
    </w:p>
    <w:p w14:paraId="2E16C46F" w14:textId="77777777" w:rsidR="00B51077" w:rsidRPr="00DF52F7" w:rsidRDefault="00DE2FB3" w:rsidP="00AB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sz w:val="24"/>
          <w:szCs w:val="24"/>
          <w:lang w:val="lt-LT"/>
        </w:rPr>
        <w:t>Mindaugas Sinkevičius</w:t>
      </w:r>
    </w:p>
    <w:p w14:paraId="3A7AA96C" w14:textId="39C07CE2" w:rsidR="00923658" w:rsidRPr="00DF52F7" w:rsidRDefault="00923658" w:rsidP="00AB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201</w:t>
      </w:r>
      <w:r w:rsidR="007A6337" w:rsidRPr="00DF52F7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7</w:t>
      </w:r>
      <w:r w:rsidRPr="00DF52F7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m.</w:t>
      </w:r>
      <w:r w:rsidR="00B51077" w:rsidRPr="00DF52F7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 </w:t>
      </w:r>
      <w:r w:rsidR="000E2C3E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 xml:space="preserve">birželio 16 </w:t>
      </w:r>
      <w:r w:rsidRPr="00DF52F7">
        <w:rPr>
          <w:rFonts w:ascii="Times New Roman" w:hAnsi="Times New Roman" w:cs="Times New Roman"/>
          <w:noProof/>
          <w:sz w:val="24"/>
          <w:szCs w:val="24"/>
          <w:lang w:val="lt-LT" w:eastAsia="lt-LT"/>
        </w:rPr>
        <w:t>d.</w:t>
      </w:r>
    </w:p>
    <w:p w14:paraId="0EC25893" w14:textId="77777777" w:rsidR="00E56A97" w:rsidRPr="00DF52F7" w:rsidRDefault="00923658" w:rsidP="00AB5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PATVIRTINTA </w:t>
      </w:r>
    </w:p>
    <w:p w14:paraId="50CCA5B1" w14:textId="36CBDEA0" w:rsidR="00180543" w:rsidRPr="00DF52F7" w:rsidRDefault="00923658" w:rsidP="00AB5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sz w:val="24"/>
          <w:szCs w:val="24"/>
          <w:lang w:val="lt-LT"/>
        </w:rPr>
        <w:t>Viešosios įstaigos Lietuvos verslo paramos agentūros direktoriaus 201</w:t>
      </w:r>
      <w:r w:rsidR="00EA7760" w:rsidRPr="00DF52F7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C3300B">
        <w:rPr>
          <w:rFonts w:ascii="Times New Roman" w:hAnsi="Times New Roman" w:cs="Times New Roman"/>
          <w:sz w:val="24"/>
          <w:szCs w:val="24"/>
          <w:lang w:val="lt-LT"/>
        </w:rPr>
        <w:t>birželio</w:t>
      </w:r>
      <w:r w:rsidR="008F6980">
        <w:rPr>
          <w:rFonts w:ascii="Times New Roman" w:hAnsi="Times New Roman" w:cs="Times New Roman"/>
          <w:sz w:val="24"/>
          <w:szCs w:val="24"/>
          <w:lang w:val="lt-LT"/>
        </w:rPr>
        <w:t xml:space="preserve"> 20</w:t>
      </w:r>
      <w:r w:rsidR="00EA7760"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180543" w:rsidRPr="00DF52F7">
        <w:rPr>
          <w:rFonts w:ascii="Times New Roman" w:hAnsi="Times New Roman" w:cs="Times New Roman"/>
          <w:sz w:val="24"/>
          <w:szCs w:val="24"/>
          <w:lang w:val="lt-LT"/>
        </w:rPr>
        <w:t>įsakymu Nr.</w:t>
      </w:r>
      <w:r w:rsidR="003126C7"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 R1-</w:t>
      </w:r>
      <w:r w:rsidR="008F6980">
        <w:rPr>
          <w:rFonts w:ascii="Times New Roman" w:hAnsi="Times New Roman" w:cs="Times New Roman"/>
          <w:sz w:val="24"/>
          <w:szCs w:val="24"/>
          <w:lang w:val="lt-LT"/>
        </w:rPr>
        <w:t xml:space="preserve"> 045</w:t>
      </w:r>
      <w:bookmarkStart w:id="0" w:name="_GoBack"/>
      <w:bookmarkEnd w:id="0"/>
      <w:r w:rsidR="00EA7760"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 (1.3)</w:t>
      </w:r>
    </w:p>
    <w:p w14:paraId="55FD4A2C" w14:textId="77777777" w:rsidR="00923658" w:rsidRPr="00DF52F7" w:rsidRDefault="00923658" w:rsidP="00AB5246">
      <w:pPr>
        <w:pStyle w:val="Default"/>
        <w:jc w:val="both"/>
        <w:rPr>
          <w:noProof/>
          <w:lang w:eastAsia="lt-LT"/>
        </w:rPr>
        <w:sectPr w:rsidR="00923658" w:rsidRPr="00DF52F7" w:rsidSect="00D06BBE">
          <w:headerReference w:type="default" r:id="rId8"/>
          <w:pgSz w:w="11906" w:h="16838"/>
          <w:pgMar w:top="1134" w:right="567" w:bottom="1134" w:left="1701" w:header="567" w:footer="567" w:gutter="0"/>
          <w:cols w:num="2" w:space="2"/>
          <w:titlePg/>
          <w:docGrid w:linePitch="360"/>
        </w:sectPr>
      </w:pPr>
    </w:p>
    <w:p w14:paraId="71134FC6" w14:textId="77777777" w:rsidR="00923658" w:rsidRPr="00DF52F7" w:rsidRDefault="00923658" w:rsidP="00AB5246">
      <w:pPr>
        <w:pStyle w:val="Default"/>
        <w:jc w:val="center"/>
        <w:rPr>
          <w:b/>
          <w:color w:val="auto"/>
          <w:sz w:val="36"/>
          <w:szCs w:val="36"/>
        </w:rPr>
      </w:pPr>
    </w:p>
    <w:p w14:paraId="0CE85E50" w14:textId="77777777" w:rsidR="00923658" w:rsidRPr="00DF52F7" w:rsidRDefault="00923658" w:rsidP="00AB5246">
      <w:pPr>
        <w:pStyle w:val="Default"/>
        <w:jc w:val="center"/>
        <w:rPr>
          <w:b/>
          <w:color w:val="auto"/>
          <w:sz w:val="36"/>
          <w:szCs w:val="36"/>
        </w:rPr>
      </w:pPr>
    </w:p>
    <w:p w14:paraId="4976CE72" w14:textId="77777777" w:rsidR="008E114B" w:rsidRPr="00DF52F7" w:rsidRDefault="008E114B" w:rsidP="00AB5246">
      <w:pPr>
        <w:pStyle w:val="Default"/>
        <w:jc w:val="center"/>
        <w:rPr>
          <w:b/>
          <w:color w:val="auto"/>
          <w:sz w:val="36"/>
          <w:szCs w:val="36"/>
        </w:rPr>
      </w:pPr>
      <w:r w:rsidRPr="00DF52F7">
        <w:rPr>
          <w:noProof/>
          <w:lang w:eastAsia="lt-LT"/>
        </w:rPr>
        <w:drawing>
          <wp:inline distT="0" distB="0" distL="0" distR="0" wp14:anchorId="4EEED85A" wp14:editId="3BEEC64B">
            <wp:extent cx="2895600" cy="2895600"/>
            <wp:effectExtent l="0" t="0" r="0" b="0"/>
            <wp:docPr id="1" name="Paveikslėlis 1" descr="C:\Users\R.Jankunas\AppData\Local\Microsoft\Windows\Temporary Internet Files\Content.Outlook\4A1YO2KK\LVPA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Jankunas\AppData\Local\Microsoft\Windows\Temporary Internet Files\Content.Outlook\4A1YO2KK\LVPA 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ACBC5" w14:textId="77777777" w:rsidR="00EF5964" w:rsidRPr="006243AE" w:rsidRDefault="00EF5964" w:rsidP="00AB5246">
      <w:pPr>
        <w:pStyle w:val="Default"/>
        <w:jc w:val="center"/>
        <w:rPr>
          <w:b/>
          <w:color w:val="2F5496" w:themeColor="accent5" w:themeShade="BF"/>
          <w:sz w:val="36"/>
          <w:szCs w:val="36"/>
        </w:rPr>
      </w:pPr>
      <w:r w:rsidRPr="006243AE">
        <w:rPr>
          <w:b/>
          <w:color w:val="2F5496" w:themeColor="accent5" w:themeShade="BF"/>
          <w:sz w:val="36"/>
          <w:szCs w:val="36"/>
        </w:rPr>
        <w:t xml:space="preserve">VIEŠOSIOS ĮSTAIGOS  </w:t>
      </w:r>
    </w:p>
    <w:p w14:paraId="7DC83508" w14:textId="77777777" w:rsidR="00EF5964" w:rsidRPr="006243AE" w:rsidRDefault="00EF5964" w:rsidP="00AB5246">
      <w:pPr>
        <w:pStyle w:val="Default"/>
        <w:jc w:val="center"/>
        <w:rPr>
          <w:b/>
          <w:color w:val="2F5496" w:themeColor="accent5" w:themeShade="BF"/>
          <w:sz w:val="36"/>
          <w:szCs w:val="36"/>
        </w:rPr>
      </w:pPr>
      <w:r w:rsidRPr="006243AE">
        <w:rPr>
          <w:b/>
          <w:bCs/>
          <w:color w:val="2F5496" w:themeColor="accent5" w:themeShade="BF"/>
          <w:sz w:val="36"/>
          <w:szCs w:val="36"/>
        </w:rPr>
        <w:t>LIETUVOS VERSLO PARAMOS AGENTŪROS</w:t>
      </w:r>
    </w:p>
    <w:p w14:paraId="04A7667A" w14:textId="77777777" w:rsidR="00EF5964" w:rsidRPr="006243AE" w:rsidRDefault="00EF5964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lang w:val="lt-LT"/>
        </w:rPr>
      </w:pPr>
      <w:r w:rsidRPr="006243AE"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lang w:val="lt-LT"/>
        </w:rPr>
        <w:t>201</w:t>
      </w:r>
      <w:r w:rsidR="007A6337" w:rsidRPr="006243AE"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lang w:val="lt-LT"/>
        </w:rPr>
        <w:t>7</w:t>
      </w:r>
      <w:r w:rsidRPr="006243AE">
        <w:rPr>
          <w:rFonts w:ascii="Times New Roman" w:hAnsi="Times New Roman" w:cs="Times New Roman"/>
          <w:b/>
          <w:bCs/>
          <w:color w:val="2F5496" w:themeColor="accent5" w:themeShade="BF"/>
          <w:sz w:val="36"/>
          <w:szCs w:val="36"/>
          <w:lang w:val="lt-LT"/>
        </w:rPr>
        <w:t xml:space="preserve"> METŲ VEIKLOS PLANAS</w:t>
      </w:r>
    </w:p>
    <w:p w14:paraId="2512FF75" w14:textId="77777777" w:rsidR="006F2A4A" w:rsidRPr="00DF52F7" w:rsidRDefault="006F2A4A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lt-LT"/>
        </w:rPr>
      </w:pPr>
    </w:p>
    <w:p w14:paraId="64DEFAA0" w14:textId="77777777" w:rsidR="00923658" w:rsidRPr="00DF52F7" w:rsidRDefault="00923658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941C522" w14:textId="77777777" w:rsidR="00923658" w:rsidRPr="00DF52F7" w:rsidRDefault="00923658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B34909A" w14:textId="77777777" w:rsidR="00923658" w:rsidRPr="00DF52F7" w:rsidRDefault="00923658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A9C4953" w14:textId="77777777" w:rsidR="00923658" w:rsidRPr="00DF52F7" w:rsidRDefault="00923658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8B5C5C7" w14:textId="77777777" w:rsidR="00AB5246" w:rsidRPr="00DF52F7" w:rsidRDefault="00AB5246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07127DB" w14:textId="77777777" w:rsidR="00AB5246" w:rsidRPr="00DF52F7" w:rsidRDefault="00AB5246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012B7C0" w14:textId="77777777" w:rsidR="00AB5246" w:rsidRPr="00DF52F7" w:rsidRDefault="00AB5246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9202D9F" w14:textId="77777777" w:rsidR="00AB5246" w:rsidRPr="00DF52F7" w:rsidRDefault="00AB5246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28303AD" w14:textId="77777777" w:rsidR="00AB5246" w:rsidRPr="00DF52F7" w:rsidRDefault="00AB5246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730F8AA" w14:textId="77777777" w:rsidR="00AB5246" w:rsidRPr="00DF52F7" w:rsidRDefault="00AB5246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CC04C21" w14:textId="77777777" w:rsidR="00AB5246" w:rsidRPr="00DF52F7" w:rsidRDefault="00AB5246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8355493" w14:textId="77777777" w:rsidR="00AB5246" w:rsidRPr="00DF52F7" w:rsidRDefault="00AB5246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0FA42EC" w14:textId="77777777" w:rsidR="00AB5246" w:rsidRPr="00DF52F7" w:rsidRDefault="00AB5246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BE6486E" w14:textId="77777777" w:rsidR="00923658" w:rsidRPr="00DF52F7" w:rsidRDefault="00923658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C755EA1" w14:textId="77777777" w:rsidR="00923658" w:rsidRPr="00DF52F7" w:rsidRDefault="00923658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DBC28F1" w14:textId="77777777" w:rsidR="00CE4F46" w:rsidRPr="00DF52F7" w:rsidRDefault="00CE4F46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67B9951" w14:textId="77777777" w:rsidR="00923658" w:rsidRPr="00DF52F7" w:rsidRDefault="00923658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EB58454" w14:textId="77777777" w:rsidR="00923658" w:rsidRPr="00DF52F7" w:rsidRDefault="00923658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4A2646E" w14:textId="77777777" w:rsidR="006F2A4A" w:rsidRPr="00DF52F7" w:rsidRDefault="006F2A4A" w:rsidP="00AB52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74F3A899" w14:textId="77777777" w:rsidR="00AB5246" w:rsidRPr="00DF52F7" w:rsidRDefault="006F2A4A" w:rsidP="00AB52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bCs/>
          <w:sz w:val="24"/>
          <w:szCs w:val="24"/>
          <w:lang w:val="lt-LT"/>
        </w:rPr>
        <w:t>Vilnius</w:t>
      </w:r>
      <w:r w:rsidR="00CA3B2A" w:rsidRPr="00DF52F7">
        <w:rPr>
          <w:rFonts w:ascii="Times New Roman" w:hAnsi="Times New Roman" w:cs="Times New Roman"/>
          <w:bCs/>
          <w:sz w:val="24"/>
          <w:szCs w:val="24"/>
          <w:lang w:val="lt-LT"/>
        </w:rPr>
        <w:t>, 2017</w:t>
      </w:r>
    </w:p>
    <w:p w14:paraId="4297F137" w14:textId="77777777" w:rsidR="00AB5246" w:rsidRDefault="00AB5246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bCs/>
          <w:sz w:val="24"/>
          <w:szCs w:val="24"/>
          <w:lang w:val="lt-LT"/>
        </w:rPr>
        <w:br w:type="page"/>
      </w:r>
    </w:p>
    <w:p w14:paraId="68465CB5" w14:textId="77777777" w:rsidR="000F1F59" w:rsidRDefault="000F1F59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3C3C558D" w14:textId="77777777" w:rsidR="007449E0" w:rsidRDefault="007449E0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1AE7B95A" w14:textId="6000865D" w:rsidR="007449E0" w:rsidRDefault="002413FC" w:rsidP="00577D4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F5496" w:themeColor="accent5" w:themeShade="BF"/>
          <w:sz w:val="24"/>
          <w:szCs w:val="24"/>
          <w:lang w:val="lt-LT" w:eastAsia="lt-LT"/>
        </w:rPr>
      </w:pPr>
      <w:r w:rsidRPr="00C7340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LVPA 20</w:t>
      </w: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17</w:t>
      </w:r>
      <w:r w:rsidRPr="00C7340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METŲ </w:t>
      </w:r>
      <w:r w:rsidR="00AF7F6D">
        <w:rPr>
          <w:rFonts w:ascii="Times New Roman" w:eastAsiaTheme="minorEastAsia" w:hAnsi="Times New Roman" w:cs="Times New Roman"/>
          <w:b/>
          <w:bCs/>
          <w:color w:val="2F5496" w:themeColor="accent5" w:themeShade="BF"/>
          <w:sz w:val="24"/>
          <w:szCs w:val="24"/>
          <w:lang w:val="lt-LT" w:eastAsia="lt-LT"/>
        </w:rPr>
        <w:t xml:space="preserve">VEIKLOS PLANE </w:t>
      </w:r>
      <w:r w:rsidR="007449E0" w:rsidRPr="007449E0">
        <w:rPr>
          <w:rFonts w:ascii="Times New Roman" w:eastAsiaTheme="minorEastAsia" w:hAnsi="Times New Roman" w:cs="Times New Roman"/>
          <w:b/>
          <w:bCs/>
          <w:color w:val="2F5496" w:themeColor="accent5" w:themeShade="BF"/>
          <w:sz w:val="24"/>
          <w:szCs w:val="24"/>
          <w:lang w:val="lt-LT" w:eastAsia="lt-LT"/>
        </w:rPr>
        <w:t>NAUDOJAMI SUTRUMPINIMAI</w:t>
      </w:r>
    </w:p>
    <w:p w14:paraId="595B54AD" w14:textId="77777777" w:rsidR="007449E0" w:rsidRDefault="007449E0" w:rsidP="007449E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F5496" w:themeColor="accent5" w:themeShade="BF"/>
          <w:sz w:val="24"/>
          <w:szCs w:val="24"/>
          <w:lang w:val="lt-LT" w:eastAsia="lt-LT"/>
        </w:rPr>
      </w:pPr>
    </w:p>
    <w:p w14:paraId="6E2F749E" w14:textId="77777777" w:rsidR="00577D44" w:rsidRPr="007449E0" w:rsidRDefault="00577D44" w:rsidP="007449E0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F5496" w:themeColor="accent5" w:themeShade="BF"/>
          <w:sz w:val="24"/>
          <w:szCs w:val="24"/>
          <w:lang w:val="lt-LT" w:eastAsia="lt-LT"/>
        </w:rPr>
      </w:pPr>
    </w:p>
    <w:p w14:paraId="46BE6EC3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Audito institucija – Lietuvos Respublikos valstybės kontrolė;</w:t>
      </w:r>
    </w:p>
    <w:p w14:paraId="12AC0A1B" w14:textId="77777777" w:rsid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 xml:space="preserve">AIS – LVPA </w:t>
      </w:r>
      <w:r w:rsidRPr="007449E0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administravimo informacinė sistema; </w:t>
      </w:r>
    </w:p>
    <w:p w14:paraId="42E9533B" w14:textId="4A9C60E0" w:rsidR="00E366F9" w:rsidRDefault="00E366F9" w:rsidP="007449E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AV – Asignavimų valdytojas;</w:t>
      </w:r>
    </w:p>
    <w:p w14:paraId="242AC979" w14:textId="6FD98EAE" w:rsidR="000C4A0D" w:rsidRPr="007449E0" w:rsidRDefault="000C4A0D" w:rsidP="007449E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>BF – Bendrasis finansavimas;</w:t>
      </w:r>
    </w:p>
    <w:p w14:paraId="6D0C6A6C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sz w:val="24"/>
          <w:szCs w:val="24"/>
          <w:lang w:val="lt-LT" w:eastAsia="lt-LT"/>
        </w:rPr>
        <w:t xml:space="preserve">DMS </w:t>
      </w: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– Duomenų mainų svetainė;</w:t>
      </w:r>
    </w:p>
    <w:p w14:paraId="105BAF6B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EK – Europos komisija;</w:t>
      </w:r>
    </w:p>
    <w:p w14:paraId="28654ADA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ES – Europos Sąjunga;</w:t>
      </w:r>
    </w:p>
    <w:p w14:paraId="761F61C6" w14:textId="243455C4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 xml:space="preserve">Energetikos ministerija - </w:t>
      </w: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 xml:space="preserve">Lietuvos Respublikos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energetikos</w:t>
      </w: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 xml:space="preserve"> ministerija;</w:t>
      </w:r>
    </w:p>
    <w:p w14:paraId="70DABD4F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EVPD – LVPA Energetikos ir verslo produktyvumo departamentas;</w:t>
      </w:r>
    </w:p>
    <w:p w14:paraId="129D842D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Finansų ministerija – Lietuvos Respublikos finansų ministerija;</w:t>
      </w:r>
    </w:p>
    <w:p w14:paraId="3FE46B38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KS – LVPA Komunikacijos skyrius;</w:t>
      </w:r>
    </w:p>
    <w:p w14:paraId="38F21803" w14:textId="77777777" w:rsid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Kvietimas – Kvietimas teikti paraiškas finansuoti projektus;</w:t>
      </w:r>
    </w:p>
    <w:p w14:paraId="32D34D7F" w14:textId="287A3467" w:rsidR="002A67DB" w:rsidRPr="007449E0" w:rsidRDefault="002A67DB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LVPA – viešoji įstaiga Lietuvos verslo paramos agentūra;</w:t>
      </w:r>
    </w:p>
    <w:p w14:paraId="3A900EAC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MPVS – LVPA Mokėjimo prašymų vertinimo skyrius;</w:t>
      </w:r>
    </w:p>
    <w:p w14:paraId="438F9F52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MP – Mokėjimo prašymas;</w:t>
      </w:r>
    </w:p>
    <w:p w14:paraId="77DFE786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MTEPI – Moksliniai tyrimai ir eksperimentinė plėtra ir inovacijos;</w:t>
      </w:r>
    </w:p>
    <w:p w14:paraId="63C1FE9B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NPO – Neperkančioji organizacija;</w:t>
      </w:r>
    </w:p>
    <w:p w14:paraId="24517520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PAFT– Projektų administravimo ir finansavimo taisyklės;</w:t>
      </w:r>
    </w:p>
    <w:p w14:paraId="640706EB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PO – Perkančioji organizacija;</w:t>
      </w:r>
    </w:p>
    <w:p w14:paraId="7CA14B58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PTS – LVPA Personalo ir teisės skyrius;</w:t>
      </w:r>
    </w:p>
    <w:p w14:paraId="52D47756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PES – LVPA Projektų ekspertų skyrius</w:t>
      </w:r>
    </w:p>
    <w:p w14:paraId="3BF30E8F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RKVS – Agentūros Rizikos ir kokybės valdymo skyrius;</w:t>
      </w:r>
    </w:p>
    <w:p w14:paraId="76826880" w14:textId="77777777" w:rsidR="007449E0" w:rsidRP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SFMIS – ES struktūrinės paramos kompiuterinė informacinė valdymo ir priežiūros sistema;</w:t>
      </w:r>
    </w:p>
    <w:p w14:paraId="03EFED91" w14:textId="77777777" w:rsidR="007449E0" w:rsidRDefault="007449E0" w:rsidP="007449E0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Ūkio ministerija – Lietuvos Respublikos ūkio ministerija;</w:t>
      </w:r>
    </w:p>
    <w:p w14:paraId="2904A8FA" w14:textId="77777777" w:rsidR="002A67DB" w:rsidRDefault="002A67DB" w:rsidP="002A67DB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sz w:val="24"/>
          <w:szCs w:val="24"/>
          <w:lang w:val="lt-LT" w:eastAsia="lt-LT"/>
        </w:rPr>
        <w:t>VPID – LVPA Verslo plėtros ir inovacijų departamentas;</w:t>
      </w:r>
    </w:p>
    <w:p w14:paraId="267978EB" w14:textId="77777777" w:rsidR="007449E0" w:rsidRPr="007449E0" w:rsidRDefault="007449E0" w:rsidP="007449E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lt-LT"/>
        </w:rPr>
      </w:pPr>
      <w:r w:rsidRPr="007449E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lt-LT" w:eastAsia="lt-LT"/>
        </w:rPr>
        <w:t xml:space="preserve">VTA – LVPA vidaus </w:t>
      </w:r>
      <w:r w:rsidRPr="007449E0">
        <w:rPr>
          <w:rFonts w:ascii="Times New Roman" w:eastAsiaTheme="minorEastAsia" w:hAnsi="Times New Roman" w:cs="Times New Roman"/>
          <w:color w:val="000000"/>
          <w:sz w:val="24"/>
          <w:szCs w:val="24"/>
          <w:lang w:val="lt-LT" w:eastAsia="lt-LT"/>
        </w:rPr>
        <w:t>tvarkos aprašai, reglamentuojantys ES struktūrinės paramos administravimą.</w:t>
      </w:r>
    </w:p>
    <w:p w14:paraId="0C8CA215" w14:textId="77777777" w:rsidR="007449E0" w:rsidRPr="007449E0" w:rsidRDefault="007449E0" w:rsidP="007449E0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A32C684" w14:textId="77777777" w:rsidR="007449E0" w:rsidRDefault="007449E0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58F662FC" w14:textId="77777777" w:rsidR="007449E0" w:rsidRDefault="007449E0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7F403DC0" w14:textId="77777777" w:rsidR="007449E0" w:rsidRDefault="007449E0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30BEB082" w14:textId="77777777" w:rsidR="00CD6B3C" w:rsidRDefault="00CD6B3C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5E8DF7A4" w14:textId="77777777" w:rsidR="007449E0" w:rsidRDefault="007449E0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7624964" w14:textId="77777777" w:rsidR="007449E0" w:rsidRDefault="007449E0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2A0676E9" w14:textId="77777777" w:rsidR="007449E0" w:rsidRDefault="007449E0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1E862D17" w14:textId="77777777" w:rsidR="00CD6B3C" w:rsidRDefault="00CD6B3C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3F7277E9" w14:textId="6E029A8B" w:rsidR="00151188" w:rsidRDefault="00151188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C7340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LVPA 20</w:t>
      </w:r>
      <w:r w:rsidR="0000299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17</w:t>
      </w:r>
      <w:r w:rsidRPr="00C7340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METŲ VEIKLOS </w:t>
      </w:r>
      <w:r w:rsidR="0000299F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PLANO</w:t>
      </w:r>
      <w:r w:rsidRPr="00C7340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PASKIRTIS</w:t>
      </w:r>
    </w:p>
    <w:p w14:paraId="256EFBE4" w14:textId="77777777" w:rsidR="00151188" w:rsidRDefault="00151188" w:rsidP="00151188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2DC20FEE" w14:textId="51282271" w:rsidR="00151188" w:rsidRDefault="00151188" w:rsidP="00151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ūkio ministerijos </w:t>
      </w:r>
      <w:r w:rsidR="00AE7ACA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>steigta v</w:t>
      </w:r>
      <w:r w:rsidRPr="00545D8E">
        <w:rPr>
          <w:rFonts w:ascii="Times New Roman" w:hAnsi="Times New Roman" w:cs="Times New Roman"/>
          <w:sz w:val="24"/>
          <w:szCs w:val="24"/>
        </w:rPr>
        <w:t xml:space="preserve">iešoji įstaiga Lietuvos verslo paramos agentūra (LVPA) </w:t>
      </w:r>
      <w:r>
        <w:rPr>
          <w:rFonts w:ascii="Times New Roman" w:hAnsi="Times New Roman" w:cs="Times New Roman"/>
          <w:sz w:val="24"/>
          <w:szCs w:val="24"/>
        </w:rPr>
        <w:t>prisideda prie</w:t>
      </w:r>
      <w:r w:rsidRPr="00545D8E">
        <w:rPr>
          <w:rFonts w:ascii="Times New Roman" w:hAnsi="Times New Roman" w:cs="Times New Roman"/>
          <w:sz w:val="24"/>
          <w:szCs w:val="24"/>
        </w:rPr>
        <w:t xml:space="preserve"> Lietuvos ūkio plėtr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545D8E">
        <w:rPr>
          <w:rFonts w:ascii="Times New Roman" w:hAnsi="Times New Roman" w:cs="Times New Roman"/>
          <w:sz w:val="24"/>
          <w:szCs w:val="24"/>
        </w:rPr>
        <w:t xml:space="preserve"> ir jo tarptautini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545D8E">
        <w:rPr>
          <w:rFonts w:ascii="Times New Roman" w:hAnsi="Times New Roman" w:cs="Times New Roman"/>
          <w:sz w:val="24"/>
          <w:szCs w:val="24"/>
        </w:rPr>
        <w:t xml:space="preserve"> konkurencingumui didinti skirt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545D8E">
        <w:rPr>
          <w:rFonts w:ascii="Times New Roman" w:hAnsi="Times New Roman" w:cs="Times New Roman"/>
          <w:sz w:val="24"/>
          <w:szCs w:val="24"/>
        </w:rPr>
        <w:t xml:space="preserve"> nacionalin</w:t>
      </w:r>
      <w:r>
        <w:rPr>
          <w:rFonts w:ascii="Times New Roman" w:hAnsi="Times New Roman" w:cs="Times New Roman"/>
          <w:sz w:val="24"/>
          <w:szCs w:val="24"/>
        </w:rPr>
        <w:t>ių</w:t>
      </w:r>
      <w:r w:rsidRPr="00545D8E">
        <w:rPr>
          <w:rFonts w:ascii="Times New Roman" w:hAnsi="Times New Roman" w:cs="Times New Roman"/>
          <w:sz w:val="24"/>
          <w:szCs w:val="24"/>
        </w:rPr>
        <w:t xml:space="preserve"> strategij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545D8E">
        <w:rPr>
          <w:rFonts w:ascii="Times New Roman" w:hAnsi="Times New Roman" w:cs="Times New Roman"/>
          <w:sz w:val="24"/>
          <w:szCs w:val="24"/>
        </w:rPr>
        <w:t xml:space="preserve"> ir program</w:t>
      </w:r>
      <w:r>
        <w:rPr>
          <w:rFonts w:ascii="Times New Roman" w:hAnsi="Times New Roman" w:cs="Times New Roman"/>
          <w:sz w:val="24"/>
          <w:szCs w:val="24"/>
        </w:rPr>
        <w:t>ų įgyvendinimo</w:t>
      </w:r>
      <w:r w:rsidRPr="00545D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8E">
        <w:rPr>
          <w:rFonts w:ascii="Times New Roman" w:hAnsi="Times New Roman" w:cs="Times New Roman"/>
          <w:sz w:val="24"/>
          <w:szCs w:val="24"/>
        </w:rPr>
        <w:t>padeda</w:t>
      </w:r>
      <w:r>
        <w:rPr>
          <w:rFonts w:ascii="Times New Roman" w:hAnsi="Times New Roman" w:cs="Times New Roman"/>
          <w:sz w:val="24"/>
          <w:szCs w:val="24"/>
        </w:rPr>
        <w:t xml:space="preserve"> kryptingai</w:t>
      </w:r>
      <w:r w:rsidRPr="00545D8E">
        <w:rPr>
          <w:rFonts w:ascii="Times New Roman" w:hAnsi="Times New Roman" w:cs="Times New Roman"/>
          <w:sz w:val="24"/>
          <w:szCs w:val="24"/>
        </w:rPr>
        <w:t xml:space="preserve"> investuoti paramą verslui,</w:t>
      </w:r>
      <w:r>
        <w:rPr>
          <w:rFonts w:ascii="Times New Roman" w:hAnsi="Times New Roman" w:cs="Times New Roman"/>
          <w:sz w:val="24"/>
          <w:szCs w:val="24"/>
        </w:rPr>
        <w:t xml:space="preserve"> energetikai, </w:t>
      </w:r>
      <w:r w:rsidRPr="00545D8E">
        <w:rPr>
          <w:rFonts w:ascii="Times New Roman" w:hAnsi="Times New Roman" w:cs="Times New Roman"/>
          <w:sz w:val="24"/>
          <w:szCs w:val="24"/>
        </w:rPr>
        <w:t>moksliniams tyrimams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D8E">
        <w:rPr>
          <w:rFonts w:ascii="Times New Roman" w:hAnsi="Times New Roman" w:cs="Times New Roman"/>
          <w:sz w:val="24"/>
          <w:szCs w:val="24"/>
        </w:rPr>
        <w:t xml:space="preserve"> eksperimentinei plėtrai</w:t>
      </w:r>
      <w:r>
        <w:rPr>
          <w:rFonts w:ascii="Times New Roman" w:hAnsi="Times New Roman" w:cs="Times New Roman"/>
          <w:sz w:val="24"/>
          <w:szCs w:val="24"/>
        </w:rPr>
        <w:t xml:space="preserve"> ir inovacijoms</w:t>
      </w:r>
      <w:r w:rsidRPr="00545D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CD">
        <w:rPr>
          <w:rFonts w:ascii="Times New Roman" w:hAnsi="Times New Roman" w:cs="Times New Roman"/>
          <w:sz w:val="24"/>
          <w:szCs w:val="24"/>
        </w:rPr>
        <w:t>administruoja ES struktūrinių fondų ir valstybės biudžeto lėš</w:t>
      </w:r>
      <w:r>
        <w:rPr>
          <w:rFonts w:ascii="Times New Roman" w:hAnsi="Times New Roman" w:cs="Times New Roman"/>
          <w:sz w:val="24"/>
          <w:szCs w:val="24"/>
        </w:rPr>
        <w:t>omis finansuojamus projektus</w:t>
      </w:r>
      <w:r w:rsidRPr="003F16CD">
        <w:rPr>
          <w:rFonts w:ascii="Times New Roman" w:hAnsi="Times New Roman" w:cs="Times New Roman"/>
          <w:sz w:val="24"/>
          <w:szCs w:val="24"/>
        </w:rPr>
        <w:t>, užtikrina informacijos apie reikalavimus ir ES</w:t>
      </w:r>
      <w:r>
        <w:rPr>
          <w:rFonts w:ascii="Times New Roman" w:hAnsi="Times New Roman" w:cs="Times New Roman"/>
          <w:sz w:val="24"/>
          <w:szCs w:val="24"/>
        </w:rPr>
        <w:t xml:space="preserve"> finansinės</w:t>
      </w:r>
      <w:r w:rsidRPr="003F16CD">
        <w:rPr>
          <w:rFonts w:ascii="Times New Roman" w:hAnsi="Times New Roman" w:cs="Times New Roman"/>
          <w:sz w:val="24"/>
          <w:szCs w:val="24"/>
        </w:rPr>
        <w:t xml:space="preserve"> paramos paskirstymą sklaidą.</w:t>
      </w:r>
    </w:p>
    <w:p w14:paraId="3129AC19" w14:textId="3D0E767C" w:rsidR="0032553C" w:rsidRDefault="0000299F" w:rsidP="00151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D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D8E">
        <w:rPr>
          <w:rFonts w:ascii="Times New Roman" w:hAnsi="Times New Roman" w:cs="Times New Roman"/>
          <w:sz w:val="24"/>
          <w:szCs w:val="24"/>
        </w:rPr>
        <w:t xml:space="preserve"> metų veiklos </w:t>
      </w:r>
      <w:r>
        <w:rPr>
          <w:rFonts w:ascii="Times New Roman" w:hAnsi="Times New Roman" w:cs="Times New Roman"/>
          <w:sz w:val="24"/>
          <w:szCs w:val="24"/>
        </w:rPr>
        <w:t>planas</w:t>
      </w:r>
      <w:r w:rsidR="009539C2">
        <w:rPr>
          <w:rFonts w:ascii="Times New Roman" w:hAnsi="Times New Roman" w:cs="Times New Roman"/>
          <w:sz w:val="24"/>
          <w:szCs w:val="24"/>
        </w:rPr>
        <w:t xml:space="preserve"> parengtas vadovaujantis LVPA 201</w:t>
      </w:r>
      <w:r w:rsidR="006636C8">
        <w:rPr>
          <w:rFonts w:ascii="Times New Roman" w:hAnsi="Times New Roman" w:cs="Times New Roman"/>
          <w:sz w:val="24"/>
          <w:szCs w:val="24"/>
        </w:rPr>
        <w:t>6</w:t>
      </w:r>
      <w:r w:rsidR="00F55BCB">
        <w:rPr>
          <w:rFonts w:ascii="Times New Roman" w:hAnsi="Times New Roman" w:cs="Times New Roman"/>
          <w:sz w:val="24"/>
          <w:szCs w:val="24"/>
        </w:rPr>
        <w:t>–</w:t>
      </w:r>
      <w:r w:rsidR="009539C2">
        <w:rPr>
          <w:rFonts w:ascii="Times New Roman" w:hAnsi="Times New Roman" w:cs="Times New Roman"/>
          <w:sz w:val="24"/>
          <w:szCs w:val="24"/>
        </w:rPr>
        <w:t>2018 metų veiklos strategija</w:t>
      </w:r>
      <w:r w:rsidR="004779AD">
        <w:rPr>
          <w:rFonts w:ascii="Times New Roman" w:hAnsi="Times New Roman" w:cs="Times New Roman"/>
          <w:sz w:val="24"/>
          <w:szCs w:val="24"/>
        </w:rPr>
        <w:t xml:space="preserve"> (toliau – Strategija)</w:t>
      </w:r>
      <w:r w:rsidR="009539C2">
        <w:rPr>
          <w:rFonts w:ascii="Times New Roman" w:hAnsi="Times New Roman" w:cs="Times New Roman"/>
          <w:sz w:val="24"/>
          <w:szCs w:val="24"/>
        </w:rPr>
        <w:t>, patvirtinta Lietuvos Respublikos ūkio ministro</w:t>
      </w:r>
      <w:r w:rsidR="006636C8">
        <w:rPr>
          <w:rFonts w:ascii="Times New Roman" w:hAnsi="Times New Roman" w:cs="Times New Roman"/>
          <w:sz w:val="24"/>
          <w:szCs w:val="24"/>
        </w:rPr>
        <w:t xml:space="preserve"> 2016 m. gegužės 4 d. įsakymu Nr. 4-333.</w:t>
      </w:r>
      <w:r w:rsidR="00477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FDADE" w14:textId="26BBFBE6" w:rsidR="004779AD" w:rsidRDefault="004779AD" w:rsidP="00151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Strategija </w:t>
      </w:r>
      <w:r w:rsidRPr="00545D8E">
        <w:rPr>
          <w:rFonts w:ascii="Times New Roman" w:hAnsi="Times New Roman" w:cs="Times New Roman"/>
          <w:sz w:val="24"/>
          <w:szCs w:val="24"/>
        </w:rPr>
        <w:t>nustat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45D8E">
        <w:rPr>
          <w:rFonts w:ascii="Times New Roman" w:hAnsi="Times New Roman" w:cs="Times New Roman"/>
          <w:sz w:val="24"/>
          <w:szCs w:val="24"/>
        </w:rPr>
        <w:t xml:space="preserve"> LVPA prioritetines veiklos kryptis, viziją, misiją, tikslus, uždavinius ir siektinus rezultatus iki 2018 metų efektyvi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545D8E">
        <w:rPr>
          <w:rFonts w:ascii="Times New Roman" w:hAnsi="Times New Roman" w:cs="Times New Roman"/>
          <w:sz w:val="24"/>
          <w:szCs w:val="24"/>
        </w:rPr>
        <w:t xml:space="preserve"> veikl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B57557">
        <w:rPr>
          <w:rFonts w:ascii="Times New Roman" w:hAnsi="Times New Roman" w:cs="Times New Roman"/>
          <w:sz w:val="24"/>
          <w:szCs w:val="24"/>
        </w:rPr>
        <w:t xml:space="preserve"> </w:t>
      </w:r>
      <w:r w:rsidRPr="00545D8E">
        <w:rPr>
          <w:rFonts w:ascii="Times New Roman" w:hAnsi="Times New Roman" w:cs="Times New Roman"/>
          <w:sz w:val="24"/>
          <w:szCs w:val="24"/>
        </w:rPr>
        <w:t>užtikrin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545D8E">
        <w:rPr>
          <w:rFonts w:ascii="Times New Roman" w:hAnsi="Times New Roman" w:cs="Times New Roman"/>
          <w:sz w:val="24"/>
          <w:szCs w:val="24"/>
        </w:rPr>
        <w:t xml:space="preserve">. Strategija </w:t>
      </w:r>
      <w:r>
        <w:rPr>
          <w:rFonts w:ascii="Times New Roman" w:hAnsi="Times New Roman" w:cs="Times New Roman"/>
          <w:sz w:val="24"/>
          <w:szCs w:val="24"/>
        </w:rPr>
        <w:t xml:space="preserve">sudaro galimybes </w:t>
      </w:r>
      <w:r w:rsidRPr="00545D8E">
        <w:rPr>
          <w:rFonts w:ascii="Times New Roman" w:hAnsi="Times New Roman" w:cs="Times New Roman"/>
          <w:sz w:val="24"/>
          <w:szCs w:val="24"/>
        </w:rPr>
        <w:t xml:space="preserve">kryptingai planuoti </w:t>
      </w:r>
      <w:r>
        <w:rPr>
          <w:rFonts w:ascii="Times New Roman" w:hAnsi="Times New Roman" w:cs="Times New Roman"/>
          <w:sz w:val="24"/>
          <w:szCs w:val="24"/>
        </w:rPr>
        <w:t>LVPA</w:t>
      </w:r>
      <w:r w:rsidRPr="00545D8E">
        <w:rPr>
          <w:rFonts w:ascii="Times New Roman" w:hAnsi="Times New Roman" w:cs="Times New Roman"/>
          <w:sz w:val="24"/>
          <w:szCs w:val="24"/>
        </w:rPr>
        <w:t xml:space="preserve"> veiklą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</w:t>
      </w:r>
      <w:r w:rsidRPr="00545D8E">
        <w:rPr>
          <w:rFonts w:ascii="Times New Roman" w:hAnsi="Times New Roman" w:cs="Times New Roman"/>
          <w:sz w:val="24"/>
          <w:szCs w:val="24"/>
        </w:rPr>
        <w:t xml:space="preserve"> skirta įvertinti bei suplanuoti, kaip racionaliai panaudoti išteklius</w:t>
      </w:r>
      <w:r>
        <w:rPr>
          <w:rFonts w:ascii="Times New Roman" w:hAnsi="Times New Roman" w:cs="Times New Roman"/>
          <w:sz w:val="24"/>
          <w:szCs w:val="24"/>
        </w:rPr>
        <w:t xml:space="preserve"> LVPA</w:t>
      </w:r>
      <w:r w:rsidRPr="00545D8E">
        <w:rPr>
          <w:rFonts w:ascii="Times New Roman" w:hAnsi="Times New Roman" w:cs="Times New Roman"/>
          <w:sz w:val="24"/>
          <w:szCs w:val="24"/>
        </w:rPr>
        <w:t xml:space="preserve"> misijai ir strateginiams tikslams pasiekti bei </w:t>
      </w:r>
      <w:r>
        <w:rPr>
          <w:rFonts w:ascii="Times New Roman" w:hAnsi="Times New Roman" w:cs="Times New Roman"/>
          <w:sz w:val="24"/>
          <w:szCs w:val="24"/>
        </w:rPr>
        <w:t xml:space="preserve">priskirtoms </w:t>
      </w:r>
      <w:r w:rsidRPr="00545D8E">
        <w:rPr>
          <w:rFonts w:ascii="Times New Roman" w:hAnsi="Times New Roman" w:cs="Times New Roman"/>
          <w:sz w:val="24"/>
          <w:szCs w:val="24"/>
        </w:rPr>
        <w:t>funkcijoms</w:t>
      </w:r>
      <w:r>
        <w:rPr>
          <w:rFonts w:ascii="Times New Roman" w:hAnsi="Times New Roman" w:cs="Times New Roman"/>
          <w:sz w:val="24"/>
          <w:szCs w:val="24"/>
        </w:rPr>
        <w:t xml:space="preserve"> tinkamai</w:t>
      </w:r>
      <w:r w:rsidRPr="00545D8E">
        <w:rPr>
          <w:rFonts w:ascii="Times New Roman" w:hAnsi="Times New Roman" w:cs="Times New Roman"/>
          <w:sz w:val="24"/>
          <w:szCs w:val="24"/>
        </w:rPr>
        <w:t xml:space="preserve"> atlikti.</w:t>
      </w:r>
    </w:p>
    <w:p w14:paraId="08E9D67C" w14:textId="742AE78D" w:rsidR="00151188" w:rsidRDefault="00151188" w:rsidP="001511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D8E">
        <w:rPr>
          <w:rFonts w:ascii="Times New Roman" w:hAnsi="Times New Roman" w:cs="Times New Roman"/>
          <w:sz w:val="24"/>
          <w:szCs w:val="24"/>
        </w:rPr>
        <w:t>201</w:t>
      </w:r>
      <w:r w:rsidR="0000299F">
        <w:rPr>
          <w:rFonts w:ascii="Times New Roman" w:hAnsi="Times New Roman" w:cs="Times New Roman"/>
          <w:sz w:val="24"/>
          <w:szCs w:val="24"/>
        </w:rPr>
        <w:t>7</w:t>
      </w:r>
      <w:r w:rsidRPr="00545D8E">
        <w:rPr>
          <w:rFonts w:ascii="Times New Roman" w:hAnsi="Times New Roman" w:cs="Times New Roman"/>
          <w:sz w:val="24"/>
          <w:szCs w:val="24"/>
        </w:rPr>
        <w:t xml:space="preserve"> metų veiklos </w:t>
      </w:r>
      <w:r w:rsidR="0000299F">
        <w:rPr>
          <w:rFonts w:ascii="Times New Roman" w:hAnsi="Times New Roman" w:cs="Times New Roman"/>
          <w:sz w:val="24"/>
          <w:szCs w:val="24"/>
        </w:rPr>
        <w:t>planas</w:t>
      </w:r>
      <w:r w:rsidRPr="00545D8E">
        <w:rPr>
          <w:rFonts w:ascii="Times New Roman" w:hAnsi="Times New Roman" w:cs="Times New Roman"/>
          <w:sz w:val="24"/>
          <w:szCs w:val="24"/>
        </w:rPr>
        <w:t xml:space="preserve"> – tai </w:t>
      </w:r>
      <w:r w:rsidR="0000299F">
        <w:rPr>
          <w:rFonts w:ascii="Times New Roman" w:hAnsi="Times New Roman" w:cs="Times New Roman"/>
          <w:sz w:val="24"/>
          <w:szCs w:val="24"/>
        </w:rPr>
        <w:t>einamojo</w:t>
      </w:r>
      <w:r w:rsidRPr="00545D8E">
        <w:rPr>
          <w:rFonts w:ascii="Times New Roman" w:hAnsi="Times New Roman" w:cs="Times New Roman"/>
          <w:sz w:val="24"/>
          <w:szCs w:val="24"/>
        </w:rPr>
        <w:t xml:space="preserve"> planavimo dokumentas, nustatantis LVPA</w:t>
      </w:r>
      <w:r w:rsidR="009539C2">
        <w:rPr>
          <w:rFonts w:ascii="Times New Roman" w:hAnsi="Times New Roman" w:cs="Times New Roman"/>
          <w:sz w:val="24"/>
          <w:szCs w:val="24"/>
        </w:rPr>
        <w:t xml:space="preserve"> pagrindinius rodiklius ir siekiamus veiklos rezultatus 2017 metais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</w:t>
      </w:r>
      <w:r w:rsidR="0000299F">
        <w:rPr>
          <w:rFonts w:ascii="Times New Roman" w:hAnsi="Times New Roman" w:cs="Times New Roman"/>
          <w:sz w:val="24"/>
          <w:szCs w:val="24"/>
        </w:rPr>
        <w:t>s</w:t>
      </w:r>
      <w:r w:rsidRPr="00545D8E">
        <w:rPr>
          <w:rFonts w:ascii="Times New Roman" w:hAnsi="Times New Roman" w:cs="Times New Roman"/>
          <w:sz w:val="24"/>
          <w:szCs w:val="24"/>
        </w:rPr>
        <w:t xml:space="preserve"> skirta</w:t>
      </w:r>
      <w:r w:rsidR="0000299F">
        <w:rPr>
          <w:rFonts w:ascii="Times New Roman" w:hAnsi="Times New Roman" w:cs="Times New Roman"/>
          <w:sz w:val="24"/>
          <w:szCs w:val="24"/>
        </w:rPr>
        <w:t>s</w:t>
      </w:r>
      <w:r w:rsidRPr="00545D8E">
        <w:rPr>
          <w:rFonts w:ascii="Times New Roman" w:hAnsi="Times New Roman" w:cs="Times New Roman"/>
          <w:sz w:val="24"/>
          <w:szCs w:val="24"/>
        </w:rPr>
        <w:t xml:space="preserve"> suplanuoti, kaip racionaliai panaudoti</w:t>
      </w:r>
      <w:r w:rsidR="004779AD">
        <w:rPr>
          <w:rFonts w:ascii="Times New Roman" w:hAnsi="Times New Roman" w:cs="Times New Roman"/>
          <w:sz w:val="24"/>
          <w:szCs w:val="24"/>
        </w:rPr>
        <w:t xml:space="preserve"> 2017 metų</w:t>
      </w:r>
      <w:r w:rsidRPr="00545D8E">
        <w:rPr>
          <w:rFonts w:ascii="Times New Roman" w:hAnsi="Times New Roman" w:cs="Times New Roman"/>
          <w:sz w:val="24"/>
          <w:szCs w:val="24"/>
        </w:rPr>
        <w:t xml:space="preserve"> išteklius</w:t>
      </w:r>
      <w:r>
        <w:rPr>
          <w:rFonts w:ascii="Times New Roman" w:hAnsi="Times New Roman" w:cs="Times New Roman"/>
          <w:sz w:val="24"/>
          <w:szCs w:val="24"/>
        </w:rPr>
        <w:t xml:space="preserve"> LVPA</w:t>
      </w:r>
      <w:r w:rsidRPr="00545D8E">
        <w:rPr>
          <w:rFonts w:ascii="Times New Roman" w:hAnsi="Times New Roman" w:cs="Times New Roman"/>
          <w:sz w:val="24"/>
          <w:szCs w:val="24"/>
        </w:rPr>
        <w:t xml:space="preserve"> misijai ir strateginiams tikslams pasiekti bei </w:t>
      </w:r>
      <w:r>
        <w:rPr>
          <w:rFonts w:ascii="Times New Roman" w:hAnsi="Times New Roman" w:cs="Times New Roman"/>
          <w:sz w:val="24"/>
          <w:szCs w:val="24"/>
        </w:rPr>
        <w:t xml:space="preserve">priskirtoms </w:t>
      </w:r>
      <w:r w:rsidRPr="00545D8E">
        <w:rPr>
          <w:rFonts w:ascii="Times New Roman" w:hAnsi="Times New Roman" w:cs="Times New Roman"/>
          <w:sz w:val="24"/>
          <w:szCs w:val="24"/>
        </w:rPr>
        <w:t>funkcijoms</w:t>
      </w:r>
      <w:r>
        <w:rPr>
          <w:rFonts w:ascii="Times New Roman" w:hAnsi="Times New Roman" w:cs="Times New Roman"/>
          <w:sz w:val="24"/>
          <w:szCs w:val="24"/>
        </w:rPr>
        <w:t xml:space="preserve"> tinkamai</w:t>
      </w:r>
      <w:r w:rsidRPr="00545D8E">
        <w:rPr>
          <w:rFonts w:ascii="Times New Roman" w:hAnsi="Times New Roman" w:cs="Times New Roman"/>
          <w:sz w:val="24"/>
          <w:szCs w:val="24"/>
        </w:rPr>
        <w:t xml:space="preserve"> atlikti.</w:t>
      </w:r>
    </w:p>
    <w:p w14:paraId="682A1E74" w14:textId="77777777" w:rsidR="000F1F59" w:rsidRDefault="000F1F59" w:rsidP="000F1F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9D4">
        <w:rPr>
          <w:rFonts w:ascii="Times New Roman" w:hAnsi="Times New Roman" w:cs="Times New Roman"/>
          <w:sz w:val="24"/>
          <w:szCs w:val="24"/>
        </w:rPr>
        <w:t xml:space="preserve">Strategijos 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>įgyvendinimo stebėsena vykdoma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LVPA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 xml:space="preserve"> metinio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veiklos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 xml:space="preserve"> plano priemonių</w:t>
      </w:r>
      <w:r>
        <w:rPr>
          <w:rFonts w:ascii="Times New Roman" w:hAnsi="Times New Roman" w:cs="Times New Roman"/>
          <w:color w:val="000000"/>
          <w:sz w:val="24"/>
          <w:szCs w:val="24"/>
        </w:rPr>
        <w:t>, veiksmų ir rodiklių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 xml:space="preserve"> įgyvendinimo lygmeniu atsižvelgiant 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jame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 xml:space="preserve"> nustatytus įgyvendinimo terminus</w:t>
      </w:r>
      <w:r>
        <w:rPr>
          <w:rFonts w:ascii="Times New Roman" w:hAnsi="Times New Roman" w:cs="Times New Roman"/>
          <w:color w:val="000000"/>
          <w:sz w:val="24"/>
          <w:szCs w:val="24"/>
        </w:rPr>
        <w:t>, rodiklius ir reikšmes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>. Metini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 xml:space="preserve"> 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įgyvendinimo 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>stebėsena leidžia tinkamai įvertinti</w:t>
      </w:r>
      <w:r>
        <w:rPr>
          <w:rFonts w:ascii="Times New Roman" w:hAnsi="Times New Roman" w:cs="Times New Roman"/>
          <w:color w:val="000000"/>
          <w:sz w:val="24"/>
          <w:szCs w:val="24"/>
        </w:rPr>
        <w:t>, kokia yra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LVPA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 xml:space="preserve"> strateginių tikslų bei uždavinių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įgyvendinimo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 xml:space="preserve"> būkl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C22F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3BACF51" w14:textId="77777777" w:rsidR="0032553C" w:rsidRPr="00C22F19" w:rsidRDefault="0032553C" w:rsidP="000F1F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3171F7" w:rsidRPr="00DF52F7" w14:paraId="6F32C7F0" w14:textId="77777777" w:rsidTr="007A6337">
        <w:trPr>
          <w:trHeight w:val="554"/>
        </w:trPr>
        <w:tc>
          <w:tcPr>
            <w:tcW w:w="9628" w:type="dxa"/>
            <w:shd w:val="clear" w:color="auto" w:fill="FFF2CC" w:themeFill="accent4" w:themeFillTint="33"/>
          </w:tcPr>
          <w:p w14:paraId="5A0D99BB" w14:textId="77777777" w:rsidR="003171F7" w:rsidRPr="00DF52F7" w:rsidRDefault="006F2A4A" w:rsidP="00AB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br w:type="page"/>
            </w:r>
            <w:r w:rsidR="00BA05FD"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LVPA</w:t>
            </w:r>
            <w:r w:rsidR="00765E40"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v</w:t>
            </w:r>
            <w:r w:rsidR="00CE2B8A"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izija</w:t>
            </w:r>
            <w:r w:rsidR="003171F7"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–</w:t>
            </w:r>
            <w:r w:rsidR="00CE2B8A" w:rsidRPr="00DF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 xml:space="preserve"> profesionalus ir patikimas verslo projektų valdymo partneris, kuriant pažangią Lietuvą solidarioje Europoje</w:t>
            </w:r>
            <w:r w:rsidR="00CF1BD7" w:rsidRPr="00DF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.</w:t>
            </w:r>
          </w:p>
          <w:p w14:paraId="56CF711A" w14:textId="77777777" w:rsidR="00684F4E" w:rsidRPr="00DF52F7" w:rsidRDefault="00684F4E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0A2D25B2" w14:textId="77777777" w:rsidR="00EA4138" w:rsidRDefault="00EA4138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E5F8C8E" w14:textId="77777777" w:rsidR="000F1F59" w:rsidRPr="00DF52F7" w:rsidRDefault="000F1F59" w:rsidP="00AB5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D17422" w:rsidRPr="00DF52F7" w14:paraId="18DB937B" w14:textId="77777777" w:rsidTr="007A6337">
        <w:trPr>
          <w:trHeight w:val="554"/>
        </w:trPr>
        <w:tc>
          <w:tcPr>
            <w:tcW w:w="9628" w:type="dxa"/>
            <w:shd w:val="clear" w:color="auto" w:fill="FFF2CC" w:themeFill="accent4" w:themeFillTint="33"/>
          </w:tcPr>
          <w:p w14:paraId="3EA51544" w14:textId="77777777" w:rsidR="00CE2B8A" w:rsidRPr="00DF52F7" w:rsidRDefault="005F3309" w:rsidP="00AB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LVPA</w:t>
            </w:r>
            <w:r w:rsidR="00765E40"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m</w:t>
            </w:r>
            <w:r w:rsidR="00CE2B8A"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isija</w:t>
            </w:r>
            <w:r w:rsidR="00D17422"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–</w:t>
            </w:r>
            <w:r w:rsidR="00CF1BD7"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CE2B8A" w:rsidRPr="00DF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skatinti Lietuvos verslo augimą, inovatyvumą ir konkurencingumą, efektyviai administruojant ES struktūrinių fondų lėšomis finansuojamus projektus</w:t>
            </w:r>
            <w:r w:rsidR="00CF1BD7" w:rsidRPr="00DF52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.</w:t>
            </w:r>
          </w:p>
          <w:p w14:paraId="5E2DA9E5" w14:textId="77777777" w:rsidR="00D17422" w:rsidRPr="00DF52F7" w:rsidRDefault="00D17422" w:rsidP="00AB52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3AB58EA1" w14:textId="77777777" w:rsidR="00D17422" w:rsidRDefault="00D17422" w:rsidP="00AB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A006A4" w14:textId="77777777" w:rsidR="000F1F59" w:rsidRDefault="000F1F59" w:rsidP="00AB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94BB516" w14:textId="3E3A37E7" w:rsidR="00D17422" w:rsidRPr="00DF52F7" w:rsidRDefault="00052EA6" w:rsidP="00AB52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b/>
          <w:sz w:val="24"/>
          <w:szCs w:val="24"/>
          <w:lang w:val="lt-LT"/>
        </w:rPr>
        <w:t>LVPA</w:t>
      </w:r>
      <w:r w:rsidR="00765E40" w:rsidRPr="00DF52F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</w:t>
      </w:r>
      <w:r w:rsidR="00D17422" w:rsidRPr="00DF52F7">
        <w:rPr>
          <w:rFonts w:ascii="Times New Roman" w:hAnsi="Times New Roman" w:cs="Times New Roman"/>
          <w:b/>
          <w:sz w:val="24"/>
          <w:szCs w:val="24"/>
          <w:lang w:val="lt-LT"/>
        </w:rPr>
        <w:t>trateginiai tikslai 201</w:t>
      </w:r>
      <w:r w:rsidR="007A6337" w:rsidRPr="00DF52F7"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="000127FE" w:rsidRPr="00DF52F7">
        <w:rPr>
          <w:rFonts w:ascii="Times New Roman" w:hAnsi="Times New Roman" w:cs="Times New Roman"/>
          <w:b/>
          <w:bCs/>
          <w:sz w:val="24"/>
          <w:szCs w:val="24"/>
          <w:lang w:val="lt-LT"/>
        </w:rPr>
        <w:t>–</w:t>
      </w:r>
      <w:r w:rsidR="00D17422" w:rsidRPr="00DF52F7">
        <w:rPr>
          <w:rFonts w:ascii="Times New Roman" w:hAnsi="Times New Roman" w:cs="Times New Roman"/>
          <w:b/>
          <w:sz w:val="24"/>
          <w:szCs w:val="24"/>
          <w:lang w:val="lt-LT"/>
        </w:rPr>
        <w:t>201</w:t>
      </w:r>
      <w:r w:rsidR="00CC6277">
        <w:rPr>
          <w:rFonts w:ascii="Times New Roman" w:hAnsi="Times New Roman" w:cs="Times New Roman"/>
          <w:b/>
          <w:sz w:val="24"/>
          <w:szCs w:val="24"/>
          <w:lang w:val="lt-LT"/>
        </w:rPr>
        <w:t>8</w:t>
      </w:r>
      <w:r w:rsidR="00D17422" w:rsidRPr="00DF52F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metams</w:t>
      </w:r>
    </w:p>
    <w:p w14:paraId="0E36321C" w14:textId="77777777" w:rsidR="00D17422" w:rsidRPr="00DF52F7" w:rsidRDefault="00D17422" w:rsidP="00AB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955"/>
        <w:gridCol w:w="1558"/>
        <w:gridCol w:w="1539"/>
        <w:gridCol w:w="1564"/>
        <w:gridCol w:w="12"/>
      </w:tblGrid>
      <w:tr w:rsidR="00AC5C80" w:rsidRPr="00DF52F7" w14:paraId="6E368886" w14:textId="77777777" w:rsidTr="00A868C7">
        <w:trPr>
          <w:trHeight w:val="1200"/>
        </w:trPr>
        <w:tc>
          <w:tcPr>
            <w:tcW w:w="5000" w:type="pct"/>
            <w:gridSpan w:val="5"/>
            <w:shd w:val="clear" w:color="auto" w:fill="FFF2CC" w:themeFill="accent4" w:themeFillTint="33"/>
          </w:tcPr>
          <w:p w14:paraId="502D2022" w14:textId="1B269B73" w:rsidR="007D4EA5" w:rsidRPr="00DF52F7" w:rsidRDefault="00AC5C80" w:rsidP="00DE29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 strateginis tikslas – tinkamai atlikti </w:t>
            </w:r>
            <w:r w:rsidRPr="00DF5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ūkio plėtros ir konkurencingumo didinimo bei energetikos srities </w:t>
            </w: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projektų, finansuojamų iš ES struktūrinių fondų lėšų, vertinimą, atranką, priežiūrą ir kitas su projektų administravimu bei programų įgyvendinimu susijusias funkcijas.</w:t>
            </w:r>
          </w:p>
        </w:tc>
      </w:tr>
      <w:tr w:rsidR="00AC5C80" w:rsidRPr="00DF52F7" w14:paraId="4065D445" w14:textId="77777777" w:rsidTr="00A868C7">
        <w:tc>
          <w:tcPr>
            <w:tcW w:w="5000" w:type="pct"/>
            <w:gridSpan w:val="5"/>
            <w:shd w:val="clear" w:color="auto" w:fill="D9E2F3" w:themeFill="accent5" w:themeFillTint="33"/>
          </w:tcPr>
          <w:p w14:paraId="3D206428" w14:textId="48974E2F" w:rsidR="00AC5C80" w:rsidRPr="00DF52F7" w:rsidRDefault="00AC5C80" w:rsidP="00AB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 xml:space="preserve">Pagrindiniai rodikliai </w:t>
            </w:r>
          </w:p>
          <w:p w14:paraId="1EAF2687" w14:textId="77777777" w:rsidR="00AC5C80" w:rsidRPr="00DF52F7" w:rsidRDefault="00AC5C80" w:rsidP="00F910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AC5C80" w:rsidRPr="00DF52F7" w14:paraId="095ECFF2" w14:textId="77777777" w:rsidTr="0099173E">
        <w:trPr>
          <w:gridAfter w:val="1"/>
          <w:wAfter w:w="5" w:type="pct"/>
          <w:trHeight w:val="602"/>
        </w:trPr>
        <w:tc>
          <w:tcPr>
            <w:tcW w:w="2574" w:type="pct"/>
          </w:tcPr>
          <w:p w14:paraId="1D8D42FF" w14:textId="77777777" w:rsidR="00AC5C80" w:rsidRPr="00DF52F7" w:rsidRDefault="00AC5C80" w:rsidP="00AB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809" w:type="pct"/>
          </w:tcPr>
          <w:p w14:paraId="4F4FE1A4" w14:textId="77777777" w:rsidR="006769CD" w:rsidRDefault="00AC5C80" w:rsidP="00AB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Faktas</w:t>
            </w:r>
          </w:p>
          <w:p w14:paraId="4690227A" w14:textId="77777777" w:rsidR="00AC5C80" w:rsidRPr="00DF52F7" w:rsidRDefault="00AC5C80" w:rsidP="00AB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2016 m.</w:t>
            </w:r>
          </w:p>
        </w:tc>
        <w:tc>
          <w:tcPr>
            <w:tcW w:w="799" w:type="pct"/>
          </w:tcPr>
          <w:p w14:paraId="22876A41" w14:textId="77777777" w:rsidR="006769CD" w:rsidRDefault="00AC5C80" w:rsidP="00AC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Planas </w:t>
            </w:r>
          </w:p>
          <w:p w14:paraId="4004017A" w14:textId="4984819D" w:rsidR="00AC5C80" w:rsidRPr="00DF52F7" w:rsidRDefault="00AC5C80" w:rsidP="00AC5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2017 m.</w:t>
            </w:r>
            <w:r w:rsidR="006769C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12" w:type="pct"/>
          </w:tcPr>
          <w:p w14:paraId="74B97232" w14:textId="77777777" w:rsidR="00AC5C80" w:rsidRPr="00DF52F7" w:rsidRDefault="00AC5C80" w:rsidP="00AB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Atsiskaitymo terminas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ketv.</w:t>
            </w: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</w:t>
            </w:r>
          </w:p>
        </w:tc>
      </w:tr>
      <w:tr w:rsidR="00AC5C80" w:rsidRPr="00DF52F7" w14:paraId="75F0AA0B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155C1A0F" w14:textId="77777777" w:rsidR="00AC5C80" w:rsidRPr="00DF52F7" w:rsidRDefault="00AC5C80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Sudarytų 2014–2020 m. investicijų periodo projekto sutarčių skaičius, vnt.</w:t>
            </w:r>
            <w:r w:rsidRPr="00DF52F7">
              <w:rPr>
                <w:rStyle w:val="Puslapioinaosnuoroda"/>
                <w:rFonts w:ascii="Times New Roman" w:hAnsi="Times New Roman" w:cs="Times New Roman"/>
                <w:sz w:val="24"/>
                <w:szCs w:val="24"/>
                <w:lang w:val="lt-LT"/>
              </w:rPr>
              <w:footnoteReference w:id="1"/>
            </w:r>
          </w:p>
          <w:p w14:paraId="09606C32" w14:textId="77777777" w:rsidR="00AC5C80" w:rsidRPr="00DF52F7" w:rsidRDefault="00AC5C80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09" w:type="pct"/>
          </w:tcPr>
          <w:p w14:paraId="6F66372D" w14:textId="77777777" w:rsidR="00AC5C80" w:rsidRPr="0034247C" w:rsidRDefault="0034247C" w:rsidP="00E63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620:</w:t>
            </w:r>
          </w:p>
          <w:p w14:paraId="526775B2" w14:textId="77777777" w:rsidR="0034247C" w:rsidRDefault="0034247C" w:rsidP="00E6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  <w:p w14:paraId="7853B54D" w14:textId="77777777" w:rsidR="0034247C" w:rsidRDefault="0034247C" w:rsidP="00342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357</w:t>
            </w:r>
          </w:p>
          <w:p w14:paraId="681BD75F" w14:textId="77777777" w:rsidR="0034247C" w:rsidRDefault="0034247C" w:rsidP="00342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  <w:p w14:paraId="53237D39" w14:textId="2E0E3865" w:rsidR="0034247C" w:rsidRPr="00DF52F7" w:rsidDel="00087FEC" w:rsidRDefault="0034247C" w:rsidP="00342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188</w:t>
            </w:r>
          </w:p>
        </w:tc>
        <w:tc>
          <w:tcPr>
            <w:tcW w:w="799" w:type="pct"/>
          </w:tcPr>
          <w:p w14:paraId="1387E35A" w14:textId="3F9DBB60" w:rsidR="00AC5C80" w:rsidRPr="0034247C" w:rsidRDefault="00AC5C80" w:rsidP="00E6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760:</w:t>
            </w:r>
          </w:p>
          <w:p w14:paraId="5F29BFE5" w14:textId="77777777" w:rsidR="00AC5C80" w:rsidRPr="0034247C" w:rsidRDefault="00AC5C80" w:rsidP="00087FEC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237</w:t>
            </w:r>
          </w:p>
          <w:p w14:paraId="5FB3A9FA" w14:textId="77777777" w:rsidR="00AC5C80" w:rsidRPr="0034247C" w:rsidRDefault="00AC5C80" w:rsidP="00087FEC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208</w:t>
            </w:r>
          </w:p>
          <w:p w14:paraId="0A8CCA58" w14:textId="77777777" w:rsidR="00AC5C80" w:rsidRPr="0034247C" w:rsidRDefault="00AC5C80" w:rsidP="00087FEC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155</w:t>
            </w:r>
          </w:p>
          <w:p w14:paraId="563B425F" w14:textId="77777777" w:rsidR="00AC5C80" w:rsidRPr="00087FEC" w:rsidRDefault="00AC5C80" w:rsidP="00F91037">
            <w:pPr>
              <w:tabs>
                <w:tab w:val="left" w:pos="-57"/>
                <w:tab w:val="left" w:pos="5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160</w:t>
            </w:r>
          </w:p>
        </w:tc>
        <w:tc>
          <w:tcPr>
            <w:tcW w:w="812" w:type="pct"/>
          </w:tcPr>
          <w:p w14:paraId="3A6E1D64" w14:textId="77777777" w:rsidR="00AC5C80" w:rsidRPr="00F91037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10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I-IV:</w:t>
            </w:r>
          </w:p>
          <w:p w14:paraId="2D6A47DE" w14:textId="77777777" w:rsidR="00AC5C80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</w:p>
          <w:p w14:paraId="6153CE83" w14:textId="77777777" w:rsidR="00AC5C80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</w:t>
            </w:r>
          </w:p>
          <w:p w14:paraId="672660A3" w14:textId="77777777" w:rsidR="00AC5C80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</w:t>
            </w:r>
          </w:p>
          <w:p w14:paraId="46564061" w14:textId="212A1949" w:rsidR="00AC5C80" w:rsidRPr="00DF52F7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</w:t>
            </w: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AC5C80" w:rsidRPr="00DF52F7" w14:paraId="3DF006BA" w14:textId="77777777" w:rsidTr="0099173E">
        <w:trPr>
          <w:gridAfter w:val="1"/>
          <w:wAfter w:w="5" w:type="pct"/>
          <w:trHeight w:val="1458"/>
        </w:trPr>
        <w:tc>
          <w:tcPr>
            <w:tcW w:w="2574" w:type="pct"/>
          </w:tcPr>
          <w:p w14:paraId="2CB85BE9" w14:textId="0F223314" w:rsidR="00AC5C80" w:rsidRPr="00DF52F7" w:rsidRDefault="00AC5C80" w:rsidP="00E63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Bendras LVPA administruojamų projektų skaičius, vnt., iš jų: </w:t>
            </w:r>
          </w:p>
          <w:p w14:paraId="37AAD37C" w14:textId="77777777" w:rsidR="00AC5C80" w:rsidRPr="00DF52F7" w:rsidRDefault="00AC5C80" w:rsidP="00E63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2007–2013 m.</w:t>
            </w:r>
          </w:p>
          <w:p w14:paraId="2F800DB8" w14:textId="77777777" w:rsidR="00AC5C80" w:rsidRPr="00DF52F7" w:rsidRDefault="00AC5C80" w:rsidP="00E63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2014–2020 m.</w:t>
            </w:r>
          </w:p>
        </w:tc>
        <w:tc>
          <w:tcPr>
            <w:tcW w:w="809" w:type="pct"/>
          </w:tcPr>
          <w:p w14:paraId="4728A77A" w14:textId="77777777" w:rsidR="00AC5C80" w:rsidRDefault="0034247C" w:rsidP="00E6357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4017:</w:t>
            </w:r>
          </w:p>
          <w:p w14:paraId="11733AC0" w14:textId="77777777" w:rsidR="0034247C" w:rsidRDefault="0034247C" w:rsidP="00E635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3268</w:t>
            </w:r>
          </w:p>
          <w:p w14:paraId="5E9B253B" w14:textId="2AA695EB" w:rsidR="0034247C" w:rsidRPr="0034247C" w:rsidRDefault="0034247C" w:rsidP="00E635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749</w:t>
            </w:r>
          </w:p>
        </w:tc>
        <w:tc>
          <w:tcPr>
            <w:tcW w:w="799" w:type="pct"/>
          </w:tcPr>
          <w:p w14:paraId="00F03D07" w14:textId="77777777" w:rsidR="00AC5C80" w:rsidRPr="00F91037" w:rsidRDefault="00AC5C80" w:rsidP="00E6357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10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4890:</w:t>
            </w:r>
          </w:p>
          <w:p w14:paraId="1B61DAEF" w14:textId="77777777" w:rsidR="00AC5C80" w:rsidRPr="00DF52F7" w:rsidRDefault="00AC5C80" w:rsidP="00E635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3350</w:t>
            </w:r>
          </w:p>
          <w:p w14:paraId="1418CECE" w14:textId="77777777" w:rsidR="00AC5C80" w:rsidRPr="00DF52F7" w:rsidRDefault="00AC5C80" w:rsidP="00E6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1540</w:t>
            </w:r>
          </w:p>
        </w:tc>
        <w:tc>
          <w:tcPr>
            <w:tcW w:w="812" w:type="pct"/>
          </w:tcPr>
          <w:p w14:paraId="16C27ADC" w14:textId="6718BCF7" w:rsidR="00AC5C80" w:rsidRPr="00DF52F7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10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IV</w:t>
            </w: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AC5C80" w:rsidRPr="00DF52F7" w14:paraId="6458E139" w14:textId="77777777" w:rsidTr="0099173E">
        <w:trPr>
          <w:gridAfter w:val="1"/>
          <w:wAfter w:w="5" w:type="pct"/>
          <w:trHeight w:val="464"/>
        </w:trPr>
        <w:tc>
          <w:tcPr>
            <w:tcW w:w="2574" w:type="pct"/>
          </w:tcPr>
          <w:p w14:paraId="3C3EE3A0" w14:textId="77777777" w:rsidR="00AC5C80" w:rsidRPr="00DF52F7" w:rsidRDefault="00AC5C80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Įvertintų paraiškų skaičius, vnt.</w:t>
            </w:r>
          </w:p>
          <w:p w14:paraId="53AF4F62" w14:textId="77777777" w:rsidR="00AC5C80" w:rsidRPr="00DF52F7" w:rsidRDefault="00AC5C80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09" w:type="pct"/>
          </w:tcPr>
          <w:p w14:paraId="5978117C" w14:textId="77777777" w:rsidR="00AC5C80" w:rsidRDefault="0034247C" w:rsidP="00E63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1559:</w:t>
            </w:r>
          </w:p>
          <w:p w14:paraId="6E43AC4B" w14:textId="77777777" w:rsidR="0034247C" w:rsidRPr="0034247C" w:rsidRDefault="0034247C" w:rsidP="00E6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490</w:t>
            </w:r>
          </w:p>
          <w:p w14:paraId="669A1F3C" w14:textId="77777777" w:rsidR="0034247C" w:rsidRPr="0034247C" w:rsidRDefault="0034247C" w:rsidP="00E6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147</w:t>
            </w:r>
          </w:p>
          <w:p w14:paraId="28FD8FB9" w14:textId="77777777" w:rsidR="0034247C" w:rsidRPr="0034247C" w:rsidRDefault="0034247C" w:rsidP="00E6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220</w:t>
            </w:r>
          </w:p>
          <w:p w14:paraId="07854FC7" w14:textId="1165EA9D" w:rsidR="0034247C" w:rsidRPr="0034247C" w:rsidRDefault="0034247C" w:rsidP="00E63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702</w:t>
            </w:r>
          </w:p>
        </w:tc>
        <w:tc>
          <w:tcPr>
            <w:tcW w:w="799" w:type="pct"/>
          </w:tcPr>
          <w:p w14:paraId="20522B5C" w14:textId="5DEAE5A8" w:rsidR="00AC5C80" w:rsidRPr="0034247C" w:rsidRDefault="00AC5C80" w:rsidP="00E63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1600:</w:t>
            </w:r>
          </w:p>
          <w:p w14:paraId="0B562664" w14:textId="77777777" w:rsidR="00AC5C80" w:rsidRPr="0034247C" w:rsidRDefault="00AC5C80" w:rsidP="00087FEC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305</w:t>
            </w:r>
          </w:p>
          <w:p w14:paraId="030B8620" w14:textId="77777777" w:rsidR="00AC5C80" w:rsidRPr="0034247C" w:rsidRDefault="00AC5C80" w:rsidP="00087FEC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245</w:t>
            </w:r>
          </w:p>
          <w:p w14:paraId="6C252B26" w14:textId="77777777" w:rsidR="00AC5C80" w:rsidRPr="0034247C" w:rsidRDefault="00AC5C80" w:rsidP="00087FEC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495</w:t>
            </w:r>
          </w:p>
          <w:p w14:paraId="68F5537B" w14:textId="77777777" w:rsidR="00AC5C80" w:rsidRPr="00F91037" w:rsidRDefault="00AC5C80" w:rsidP="00F91037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34247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555</w:t>
            </w:r>
          </w:p>
        </w:tc>
        <w:tc>
          <w:tcPr>
            <w:tcW w:w="812" w:type="pct"/>
          </w:tcPr>
          <w:p w14:paraId="26907E36" w14:textId="77777777" w:rsidR="00AC5C80" w:rsidRPr="00087FEC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87F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I-IV:</w:t>
            </w:r>
          </w:p>
          <w:p w14:paraId="1046A002" w14:textId="77777777" w:rsidR="00AC5C80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</w:p>
          <w:p w14:paraId="00751DA9" w14:textId="77777777" w:rsidR="00AC5C80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</w:p>
          <w:p w14:paraId="27FF80F6" w14:textId="77777777" w:rsidR="00AC5C80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</w:t>
            </w:r>
          </w:p>
          <w:p w14:paraId="1003296D" w14:textId="3B163974" w:rsidR="00AC5C80" w:rsidRPr="00DF52F7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</w:t>
            </w: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AC5C80" w:rsidRPr="00DF52F7" w14:paraId="1CBA694C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1D61904B" w14:textId="77777777" w:rsidR="00AC5C80" w:rsidRDefault="00AC5C80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Pripažintų netinkamų išlaidų sumos santykis su visa EK deklaruotų išlaidų suma (2007–2013 ir 2014–2020 m.), proc.</w:t>
            </w:r>
          </w:p>
          <w:p w14:paraId="666C9094" w14:textId="227F86DF" w:rsidR="00E366F9" w:rsidRPr="00DF52F7" w:rsidRDefault="00E366F9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09" w:type="pct"/>
          </w:tcPr>
          <w:p w14:paraId="6DF36F21" w14:textId="01D35489" w:rsidR="00AC5C80" w:rsidRPr="00087FEC" w:rsidRDefault="00F92A7C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1,7</w:t>
            </w:r>
          </w:p>
        </w:tc>
        <w:tc>
          <w:tcPr>
            <w:tcW w:w="799" w:type="pct"/>
          </w:tcPr>
          <w:p w14:paraId="2EFB3E60" w14:textId="77777777" w:rsidR="00AC5C80" w:rsidRPr="00087FEC" w:rsidRDefault="00AC5C80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87F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 2,0</w:t>
            </w:r>
          </w:p>
        </w:tc>
        <w:tc>
          <w:tcPr>
            <w:tcW w:w="812" w:type="pct"/>
          </w:tcPr>
          <w:p w14:paraId="7794A63D" w14:textId="5EA6FC4B" w:rsidR="00AC5C80" w:rsidRPr="00DF52F7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10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IV</w:t>
            </w: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AC5C80" w:rsidRPr="00087FEC" w14:paraId="42550130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36665B42" w14:textId="77777777" w:rsidR="00AC5C80" w:rsidRPr="00F91037" w:rsidRDefault="00AC5C80" w:rsidP="00AB52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10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Mokymuose dalyvavusių LVPA darbuotojų skaičius, proc., </w:t>
            </w:r>
          </w:p>
          <w:p w14:paraId="0FC7B3DE" w14:textId="77777777" w:rsidR="00AC5C80" w:rsidRPr="00087FEC" w:rsidRDefault="00AC5C80" w:rsidP="00AB52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F9103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jų, naujai priimtų</w:t>
            </w:r>
          </w:p>
        </w:tc>
        <w:tc>
          <w:tcPr>
            <w:tcW w:w="809" w:type="pct"/>
          </w:tcPr>
          <w:p w14:paraId="7B4C0AA9" w14:textId="0531E1AF" w:rsidR="00AC5C80" w:rsidRDefault="00F92A7C" w:rsidP="00AB52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89,0</w:t>
            </w:r>
          </w:p>
          <w:p w14:paraId="2F41EC62" w14:textId="77777777" w:rsidR="006769CD" w:rsidRDefault="006769CD" w:rsidP="00AB52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8BB4517" w14:textId="77777777" w:rsidR="006769CD" w:rsidRDefault="00F92A7C" w:rsidP="00AB52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100,0</w:t>
            </w:r>
          </w:p>
          <w:p w14:paraId="0F16302A" w14:textId="07C10E37" w:rsidR="00D75523" w:rsidRPr="00087FEC" w:rsidRDefault="00D75523" w:rsidP="00AB52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99" w:type="pct"/>
          </w:tcPr>
          <w:p w14:paraId="61427673" w14:textId="77777777" w:rsidR="00AC5C80" w:rsidRPr="00087FEC" w:rsidRDefault="00AC5C80" w:rsidP="00AB52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87F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80,0</w:t>
            </w:r>
          </w:p>
          <w:p w14:paraId="4DC706A6" w14:textId="77777777" w:rsidR="00AC5C80" w:rsidRPr="00087FEC" w:rsidRDefault="00AC5C80" w:rsidP="00AB52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756E538" w14:textId="77777777" w:rsidR="00AC5C80" w:rsidRPr="00087FEC" w:rsidRDefault="00AC5C80" w:rsidP="00AB52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87F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100,0</w:t>
            </w:r>
          </w:p>
        </w:tc>
        <w:tc>
          <w:tcPr>
            <w:tcW w:w="812" w:type="pct"/>
          </w:tcPr>
          <w:p w14:paraId="0BA48A29" w14:textId="4729AB54" w:rsidR="00AC5C80" w:rsidRPr="00087FEC" w:rsidRDefault="00AC5C80" w:rsidP="00087F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87F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</w:p>
        </w:tc>
      </w:tr>
      <w:tr w:rsidR="00AC5C80" w:rsidRPr="00DF52F7" w14:paraId="35D16270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1AF551AA" w14:textId="77777777" w:rsidR="00AC5C80" w:rsidRDefault="00AC5C80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kaita per metus</w:t>
            </w:r>
            <w:r w:rsidRPr="00DF52F7">
              <w:rPr>
                <w:rStyle w:val="Puslapioinaosnuoroda"/>
                <w:rFonts w:ascii="Times New Roman" w:hAnsi="Times New Roman" w:cs="Times New Roman"/>
                <w:sz w:val="24"/>
                <w:szCs w:val="24"/>
                <w:lang w:val="lt-LT"/>
              </w:rPr>
              <w:footnoteReference w:id="2"/>
            </w: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21B746A" w14:textId="77777777" w:rsidR="00D75523" w:rsidRPr="00DF52F7" w:rsidRDefault="00D75523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09" w:type="pct"/>
          </w:tcPr>
          <w:p w14:paraId="024DE885" w14:textId="0A82B051" w:rsidR="00AC5C80" w:rsidRPr="00087FEC" w:rsidRDefault="00F92A7C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10,0</w:t>
            </w:r>
          </w:p>
        </w:tc>
        <w:tc>
          <w:tcPr>
            <w:tcW w:w="799" w:type="pct"/>
          </w:tcPr>
          <w:p w14:paraId="01DDD9E9" w14:textId="144B03A3" w:rsidR="00AC5C80" w:rsidRPr="00087FEC" w:rsidRDefault="00AC5C80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87F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 10,</w:t>
            </w:r>
            <w:r w:rsidR="00F92A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</w:tc>
        <w:tc>
          <w:tcPr>
            <w:tcW w:w="812" w:type="pct"/>
          </w:tcPr>
          <w:p w14:paraId="36FD7DD7" w14:textId="7098571E" w:rsidR="00AC5C80" w:rsidRPr="00DF52F7" w:rsidRDefault="00AC5C80" w:rsidP="00087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910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</w:p>
        </w:tc>
      </w:tr>
      <w:tr w:rsidR="00AC5C80" w:rsidRPr="00DF52F7" w14:paraId="28AC7C13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504A9823" w14:textId="77777777" w:rsidR="00AC5C80" w:rsidRDefault="00AC5C80" w:rsidP="00AB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Ankstyvoji darbuotojų kaita, procentais</w:t>
            </w:r>
            <w:r w:rsidRPr="00DF52F7">
              <w:rPr>
                <w:rStyle w:val="Puslapioinaosnuoroda"/>
                <w:rFonts w:ascii="Times New Roman" w:hAnsi="Times New Roman" w:cs="Times New Roman"/>
                <w:sz w:val="24"/>
                <w:szCs w:val="24"/>
                <w:lang w:val="lt-LT"/>
              </w:rPr>
              <w:footnoteReference w:id="3"/>
            </w:r>
          </w:p>
          <w:p w14:paraId="3CBA43DF" w14:textId="77777777" w:rsidR="00D75523" w:rsidRPr="00DF52F7" w:rsidRDefault="00D75523" w:rsidP="00AB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09" w:type="pct"/>
          </w:tcPr>
          <w:p w14:paraId="50CA8C0A" w14:textId="42B0D44B" w:rsidR="00AC5C80" w:rsidRPr="00087FEC" w:rsidRDefault="00423833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2,0</w:t>
            </w:r>
          </w:p>
        </w:tc>
        <w:tc>
          <w:tcPr>
            <w:tcW w:w="799" w:type="pct"/>
          </w:tcPr>
          <w:p w14:paraId="056B4729" w14:textId="77777777" w:rsidR="00AC5C80" w:rsidRPr="00087FEC" w:rsidRDefault="00AC5C80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87FE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 5,0</w:t>
            </w:r>
          </w:p>
        </w:tc>
        <w:tc>
          <w:tcPr>
            <w:tcW w:w="812" w:type="pct"/>
          </w:tcPr>
          <w:p w14:paraId="7F95961B" w14:textId="77777777" w:rsidR="00AC5C80" w:rsidRPr="00DF52F7" w:rsidRDefault="00AC5C80" w:rsidP="00AB5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769CD" w:rsidRPr="00DF52F7" w14:paraId="74E238BA" w14:textId="77777777" w:rsidTr="006769CD">
        <w:tc>
          <w:tcPr>
            <w:tcW w:w="5000" w:type="pct"/>
            <w:gridSpan w:val="5"/>
            <w:shd w:val="clear" w:color="auto" w:fill="D9E2F3" w:themeFill="accent5" w:themeFillTint="33"/>
          </w:tcPr>
          <w:p w14:paraId="47B098CA" w14:textId="50CCD866" w:rsidR="006769CD" w:rsidRPr="00DF52F7" w:rsidRDefault="006769CD" w:rsidP="00AB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Siekiami veiklos rezultatai </w:t>
            </w:r>
          </w:p>
          <w:p w14:paraId="5CE268FA" w14:textId="77777777" w:rsidR="006769CD" w:rsidRPr="00DF52F7" w:rsidRDefault="006769CD" w:rsidP="00AB5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769CD" w:rsidRPr="00DF52F7" w14:paraId="2A99FB2C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25A725B8" w14:textId="77777777" w:rsidR="006769CD" w:rsidRPr="00DF52F7" w:rsidRDefault="006769CD" w:rsidP="0067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809" w:type="pct"/>
          </w:tcPr>
          <w:p w14:paraId="185EB7EC" w14:textId="77777777" w:rsidR="006769CD" w:rsidRDefault="006769CD" w:rsidP="0067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Faktas</w:t>
            </w:r>
          </w:p>
          <w:p w14:paraId="04C2956E" w14:textId="77777777" w:rsidR="006769CD" w:rsidRPr="00DF52F7" w:rsidRDefault="006769CD" w:rsidP="0067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2016 m.</w:t>
            </w:r>
          </w:p>
        </w:tc>
        <w:tc>
          <w:tcPr>
            <w:tcW w:w="799" w:type="pct"/>
          </w:tcPr>
          <w:p w14:paraId="37EB5562" w14:textId="77777777" w:rsidR="006769CD" w:rsidRDefault="006769CD" w:rsidP="0067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Planas </w:t>
            </w:r>
          </w:p>
          <w:p w14:paraId="5A3761D3" w14:textId="5D9697D2" w:rsidR="006769CD" w:rsidRPr="00DF52F7" w:rsidRDefault="006769CD" w:rsidP="00676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2017 m. </w:t>
            </w: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12" w:type="pct"/>
          </w:tcPr>
          <w:p w14:paraId="19B0B199" w14:textId="77777777" w:rsidR="006769CD" w:rsidRPr="00DF52F7" w:rsidRDefault="006769CD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Atsiskaitymo terminas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ketv.</w:t>
            </w:r>
          </w:p>
        </w:tc>
      </w:tr>
      <w:tr w:rsidR="006769CD" w:rsidRPr="00DF52F7" w14:paraId="5A75D725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173E8B2F" w14:textId="77777777" w:rsidR="006769CD" w:rsidRPr="00DF52F7" w:rsidRDefault="006769CD" w:rsidP="0067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Tikslinių grupių nuomonės apklausų tyrimo respondentų, gerai vertinančių LVPA veiklą dalis, proc.</w:t>
            </w:r>
          </w:p>
          <w:p w14:paraId="556E3A7A" w14:textId="77777777" w:rsidR="006769CD" w:rsidRPr="00DF52F7" w:rsidRDefault="006769CD" w:rsidP="0067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09" w:type="pct"/>
          </w:tcPr>
          <w:p w14:paraId="00C64133" w14:textId="7946408B" w:rsidR="006769CD" w:rsidRPr="00DF52F7" w:rsidRDefault="001503EB" w:rsidP="0067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86,0</w:t>
            </w:r>
          </w:p>
        </w:tc>
        <w:tc>
          <w:tcPr>
            <w:tcW w:w="799" w:type="pct"/>
          </w:tcPr>
          <w:p w14:paraId="50C00410" w14:textId="2F896303" w:rsidR="006769CD" w:rsidRPr="000255D8" w:rsidRDefault="006769CD" w:rsidP="004B1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ne mažiau </w:t>
            </w:r>
            <w:r w:rsidR="008D73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  <w:r w:rsidR="00391BD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,0</w:t>
            </w:r>
          </w:p>
        </w:tc>
        <w:tc>
          <w:tcPr>
            <w:tcW w:w="812" w:type="pct"/>
          </w:tcPr>
          <w:p w14:paraId="7168BF0A" w14:textId="62034628" w:rsidR="006769CD" w:rsidRPr="000255D8" w:rsidRDefault="006769CD" w:rsidP="00907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</w:p>
        </w:tc>
      </w:tr>
      <w:tr w:rsidR="006769CD" w:rsidRPr="00DF52F7" w14:paraId="792BDA5C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75CB91A9" w14:textId="77777777" w:rsidR="006769CD" w:rsidRPr="00DF52F7" w:rsidRDefault="006769CD" w:rsidP="0067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Tikslinių grupių nuomonės apklausų tyrimo respondentų, gerai vertinančių LVPA projektų  ir finansų vadovus dalis, proc.</w:t>
            </w:r>
          </w:p>
          <w:p w14:paraId="1D9FFDD4" w14:textId="77777777" w:rsidR="006769CD" w:rsidRPr="00DF52F7" w:rsidRDefault="006769CD" w:rsidP="0067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09" w:type="pct"/>
          </w:tcPr>
          <w:p w14:paraId="1DD96431" w14:textId="5C18221A" w:rsidR="006769CD" w:rsidRPr="00DF52F7" w:rsidRDefault="001503EB" w:rsidP="00676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91,2</w:t>
            </w:r>
          </w:p>
        </w:tc>
        <w:tc>
          <w:tcPr>
            <w:tcW w:w="799" w:type="pct"/>
          </w:tcPr>
          <w:p w14:paraId="37E56BCA" w14:textId="74871E9E" w:rsidR="006769CD" w:rsidRPr="000255D8" w:rsidRDefault="006769CD" w:rsidP="004B13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ne mažiau </w:t>
            </w:r>
            <w:r w:rsidR="008D733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75</w:t>
            </w: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,0</w:t>
            </w:r>
          </w:p>
        </w:tc>
        <w:tc>
          <w:tcPr>
            <w:tcW w:w="812" w:type="pct"/>
          </w:tcPr>
          <w:p w14:paraId="776502DD" w14:textId="32A751C3" w:rsidR="006769CD" w:rsidRPr="000255D8" w:rsidRDefault="006769CD" w:rsidP="00907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</w:p>
        </w:tc>
      </w:tr>
      <w:tr w:rsidR="006769CD" w:rsidRPr="00DF52F7" w14:paraId="7FB6540E" w14:textId="77777777" w:rsidTr="0099173E">
        <w:trPr>
          <w:gridAfter w:val="1"/>
          <w:wAfter w:w="5" w:type="pct"/>
          <w:trHeight w:val="1199"/>
        </w:trPr>
        <w:tc>
          <w:tcPr>
            <w:tcW w:w="2574" w:type="pct"/>
          </w:tcPr>
          <w:p w14:paraId="2264E1DA" w14:textId="77777777" w:rsidR="006769CD" w:rsidRPr="00DF52F7" w:rsidRDefault="006769CD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DF52F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lastRenderedPageBreak/>
              <w:t>Vidutinė paraiškų vertinimo trukmė:</w:t>
            </w:r>
          </w:p>
          <w:p w14:paraId="1339275D" w14:textId="77777777" w:rsidR="006769CD" w:rsidRPr="00DF52F7" w:rsidRDefault="006769CD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DF52F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planinių paraiškų;</w:t>
            </w:r>
          </w:p>
          <w:p w14:paraId="12A7D2FC" w14:textId="77777777" w:rsidR="006769CD" w:rsidRPr="00DF52F7" w:rsidRDefault="006769CD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konkursinių paraiškų (išskyrus atvejus, kai vertinimo terminas pratęsiamas PAFT nustatytais atvejais)</w:t>
            </w:r>
          </w:p>
        </w:tc>
        <w:tc>
          <w:tcPr>
            <w:tcW w:w="809" w:type="pct"/>
          </w:tcPr>
          <w:p w14:paraId="0D69AFC6" w14:textId="77777777" w:rsidR="001503EB" w:rsidRDefault="001503EB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  <w:p w14:paraId="2A890537" w14:textId="77777777" w:rsidR="006769CD" w:rsidRDefault="001503EB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58,6</w:t>
            </w:r>
          </w:p>
          <w:p w14:paraId="58F37B16" w14:textId="77777777" w:rsidR="001503EB" w:rsidRDefault="001503EB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  <w:p w14:paraId="4B55C9DD" w14:textId="0FC5DA87" w:rsidR="001503EB" w:rsidRPr="00DF52F7" w:rsidRDefault="001503EB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80,6</w:t>
            </w:r>
          </w:p>
        </w:tc>
        <w:tc>
          <w:tcPr>
            <w:tcW w:w="799" w:type="pct"/>
          </w:tcPr>
          <w:p w14:paraId="7DCCF3C0" w14:textId="77777777" w:rsidR="001503EB" w:rsidRDefault="001503EB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419957AF" w14:textId="77777777" w:rsidR="006769CD" w:rsidRPr="000255D8" w:rsidRDefault="006769CD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5C20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iki 60</w:t>
            </w:r>
            <w:r w:rsidRPr="00C57A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0255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dienų</w:t>
            </w:r>
          </w:p>
          <w:p w14:paraId="32C5A8A5" w14:textId="77777777" w:rsidR="006769CD" w:rsidRDefault="006769CD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63E39423" w14:textId="77777777" w:rsidR="006769CD" w:rsidRPr="000255D8" w:rsidRDefault="006769CD" w:rsidP="006769CD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C20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iki 90</w:t>
            </w:r>
            <w:r w:rsidRPr="00C57A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0255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 xml:space="preserve">dienų </w:t>
            </w:r>
          </w:p>
        </w:tc>
        <w:tc>
          <w:tcPr>
            <w:tcW w:w="812" w:type="pct"/>
          </w:tcPr>
          <w:p w14:paraId="2CB6E685" w14:textId="57F86886" w:rsidR="006769CD" w:rsidRPr="000255D8" w:rsidRDefault="000255D8" w:rsidP="00907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I-</w:t>
            </w:r>
            <w:r w:rsidR="006769CD"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</w:p>
        </w:tc>
      </w:tr>
      <w:tr w:rsidR="006769CD" w:rsidRPr="00DF52F7" w14:paraId="321ECA21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10C391D4" w14:textId="77777777" w:rsidR="006769CD" w:rsidRPr="00DF52F7" w:rsidRDefault="006769CD" w:rsidP="006769CD">
            <w:pPr>
              <w:widowControl w:val="0"/>
              <w:tabs>
                <w:tab w:val="left" w:pos="0"/>
                <w:tab w:val="left" w:pos="459"/>
              </w:tabs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DF52F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Vidutinė projekto sutarčių pasirašymo trukmė:</w:t>
            </w:r>
          </w:p>
          <w:p w14:paraId="39BE257E" w14:textId="77777777" w:rsidR="006769CD" w:rsidRPr="00DF52F7" w:rsidRDefault="006769CD" w:rsidP="006769C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DF52F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trišalių </w:t>
            </w:r>
          </w:p>
          <w:p w14:paraId="7CD002CD" w14:textId="7494DF53" w:rsidR="006769CD" w:rsidRPr="00DF52F7" w:rsidRDefault="006769CD" w:rsidP="006769C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 xml:space="preserve"> dvišalių</w:t>
            </w:r>
          </w:p>
        </w:tc>
        <w:tc>
          <w:tcPr>
            <w:tcW w:w="809" w:type="pct"/>
          </w:tcPr>
          <w:p w14:paraId="5308670F" w14:textId="77777777" w:rsidR="0090719C" w:rsidRDefault="0090719C" w:rsidP="006769C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  <w:p w14:paraId="6F9132A7" w14:textId="771C58CD" w:rsidR="006769CD" w:rsidRDefault="001503EB" w:rsidP="006769C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39,5</w:t>
            </w:r>
          </w:p>
          <w:p w14:paraId="3051118D" w14:textId="0E58B3A4" w:rsidR="0090719C" w:rsidRPr="00DF52F7" w:rsidRDefault="001503EB" w:rsidP="006769C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27,5</w:t>
            </w:r>
          </w:p>
        </w:tc>
        <w:tc>
          <w:tcPr>
            <w:tcW w:w="799" w:type="pct"/>
          </w:tcPr>
          <w:p w14:paraId="311B22D1" w14:textId="77777777" w:rsidR="006769CD" w:rsidRPr="000255D8" w:rsidRDefault="006769CD" w:rsidP="006769C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7D69DD16" w14:textId="77777777" w:rsidR="006769CD" w:rsidRPr="000255D8" w:rsidRDefault="006769CD" w:rsidP="006769CD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255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iki 50 dienų</w:t>
            </w:r>
          </w:p>
          <w:p w14:paraId="615395CB" w14:textId="77777777" w:rsidR="006769CD" w:rsidRPr="000255D8" w:rsidRDefault="006769CD" w:rsidP="006769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 40 dienų</w:t>
            </w:r>
          </w:p>
        </w:tc>
        <w:tc>
          <w:tcPr>
            <w:tcW w:w="812" w:type="pct"/>
          </w:tcPr>
          <w:p w14:paraId="5EA66FE0" w14:textId="6FCECFD8" w:rsidR="006769CD" w:rsidRPr="000255D8" w:rsidRDefault="000255D8" w:rsidP="009071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I-</w:t>
            </w:r>
            <w:r w:rsidR="006769CD"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</w:p>
        </w:tc>
      </w:tr>
      <w:tr w:rsidR="006769CD" w:rsidRPr="00DF52F7" w14:paraId="23D6A42D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623D2116" w14:textId="77777777" w:rsidR="006769CD" w:rsidRPr="00DF52F7" w:rsidRDefault="006769CD" w:rsidP="006769CD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Vidutinė MP vertinimo trukmė (2014–2020 m.)</w:t>
            </w:r>
          </w:p>
        </w:tc>
        <w:tc>
          <w:tcPr>
            <w:tcW w:w="809" w:type="pct"/>
          </w:tcPr>
          <w:p w14:paraId="5E2B45AC" w14:textId="4BE3ECC9" w:rsidR="006769CD" w:rsidRPr="00DF52F7" w:rsidRDefault="001503EB" w:rsidP="006769CD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18,6</w:t>
            </w:r>
          </w:p>
        </w:tc>
        <w:tc>
          <w:tcPr>
            <w:tcW w:w="799" w:type="pct"/>
          </w:tcPr>
          <w:p w14:paraId="3D1CBAEA" w14:textId="77777777" w:rsidR="006769CD" w:rsidRPr="000255D8" w:rsidRDefault="006769CD" w:rsidP="006769CD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255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 xml:space="preserve">iki  27  dienų </w:t>
            </w:r>
          </w:p>
          <w:p w14:paraId="123B7E46" w14:textId="77777777" w:rsidR="006769CD" w:rsidRPr="000255D8" w:rsidRDefault="006769CD" w:rsidP="006769CD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12" w:type="pct"/>
          </w:tcPr>
          <w:p w14:paraId="0F68000D" w14:textId="6C087246" w:rsidR="006769CD" w:rsidRPr="000255D8" w:rsidRDefault="006769CD" w:rsidP="00907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</w:p>
        </w:tc>
      </w:tr>
      <w:tr w:rsidR="006769CD" w:rsidRPr="00DF52F7" w14:paraId="1ABA0F77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4FB086DE" w14:textId="0E4868CB" w:rsidR="006769CD" w:rsidRPr="00DF52F7" w:rsidRDefault="006769CD" w:rsidP="006769CD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 w:rsidRPr="00DF52F7"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Išorės audito metu nustatytų žymių neatitikimų skaičius, vnt.</w:t>
            </w:r>
          </w:p>
        </w:tc>
        <w:tc>
          <w:tcPr>
            <w:tcW w:w="809" w:type="pct"/>
          </w:tcPr>
          <w:p w14:paraId="4232DD46" w14:textId="49AD6EE3" w:rsidR="006769CD" w:rsidRPr="00DF52F7" w:rsidRDefault="001503EB" w:rsidP="006769CD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799" w:type="pct"/>
          </w:tcPr>
          <w:p w14:paraId="345F8C1D" w14:textId="77777777" w:rsidR="006769CD" w:rsidRPr="000255D8" w:rsidRDefault="006769CD" w:rsidP="006769CD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255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0</w:t>
            </w:r>
          </w:p>
        </w:tc>
        <w:tc>
          <w:tcPr>
            <w:tcW w:w="812" w:type="pct"/>
          </w:tcPr>
          <w:p w14:paraId="508F0B87" w14:textId="1B14DB59" w:rsidR="006769CD" w:rsidRPr="000255D8" w:rsidRDefault="006769CD" w:rsidP="00907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</w:p>
        </w:tc>
      </w:tr>
      <w:tr w:rsidR="0010348A" w:rsidRPr="00DF52F7" w14:paraId="669AA537" w14:textId="77777777" w:rsidTr="0099173E">
        <w:trPr>
          <w:gridAfter w:val="1"/>
          <w:wAfter w:w="5" w:type="pct"/>
        </w:trPr>
        <w:tc>
          <w:tcPr>
            <w:tcW w:w="2574" w:type="pct"/>
          </w:tcPr>
          <w:p w14:paraId="6EEFFE67" w14:textId="15E04F70" w:rsidR="0010348A" w:rsidRDefault="0010348A" w:rsidP="0010348A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Sudarytų sutarčių finansavimo suma</w:t>
            </w:r>
            <w:r w:rsidR="00F97DF1">
              <w:rPr>
                <w:rStyle w:val="Puslapioinaosnuoroda"/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footnoteReference w:id="4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, mln. Eur</w:t>
            </w:r>
          </w:p>
          <w:p w14:paraId="3B260BA1" w14:textId="77777777" w:rsidR="00F55BCB" w:rsidRDefault="00F55BCB" w:rsidP="0010348A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</w:p>
          <w:p w14:paraId="07FF9BC6" w14:textId="02EF8DF8" w:rsidR="0010348A" w:rsidRDefault="0010348A" w:rsidP="0010348A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iš jų, pagal Ūkio ministerijos priemones</w:t>
            </w:r>
          </w:p>
          <w:p w14:paraId="6672952D" w14:textId="0AE8EE1E" w:rsidR="0010348A" w:rsidRPr="00DF52F7" w:rsidRDefault="0010348A" w:rsidP="0010348A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pagal Energetikos ministerijos priemones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394FDA" w14:textId="77777777" w:rsidR="0010348A" w:rsidRPr="0010348A" w:rsidRDefault="0010348A" w:rsidP="0010348A">
            <w:pPr>
              <w:ind w:left="284" w:hanging="284"/>
              <w:contextualSpacing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10348A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111,1</w:t>
            </w:r>
          </w:p>
          <w:p w14:paraId="3BB91604" w14:textId="77777777" w:rsidR="0010348A" w:rsidRDefault="0010348A" w:rsidP="0010348A">
            <w:p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68E7DA8" w14:textId="77777777" w:rsidR="0010348A" w:rsidRDefault="0010348A" w:rsidP="0010348A">
            <w:p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60,1</w:t>
            </w:r>
          </w:p>
          <w:p w14:paraId="0CC14907" w14:textId="0478BB87" w:rsidR="0010348A" w:rsidRDefault="0010348A" w:rsidP="0010348A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51,0</w:t>
            </w:r>
          </w:p>
        </w:tc>
        <w:tc>
          <w:tcPr>
            <w:tcW w:w="799" w:type="pct"/>
          </w:tcPr>
          <w:p w14:paraId="6E1B54E7" w14:textId="4FCF9E6B" w:rsidR="0010348A" w:rsidRPr="000255D8" w:rsidRDefault="0010348A" w:rsidP="0010348A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255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3</w:t>
            </w:r>
            <w:r w:rsidR="006C130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17,7</w:t>
            </w:r>
            <w:r w:rsidR="00060F5E">
              <w:rPr>
                <w:rStyle w:val="Puslapioinaosnuoroda"/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footnoteReference w:id="5"/>
            </w:r>
          </w:p>
          <w:p w14:paraId="6B2D05A9" w14:textId="77777777" w:rsidR="0010348A" w:rsidRDefault="0010348A" w:rsidP="0010348A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553D1FC5" w14:textId="73068014" w:rsidR="0010348A" w:rsidRPr="000255D8" w:rsidRDefault="0010348A" w:rsidP="0010348A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255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 xml:space="preserve">147,0 </w:t>
            </w:r>
          </w:p>
          <w:p w14:paraId="723BD8C9" w14:textId="1CD073B2" w:rsidR="0010348A" w:rsidRPr="000255D8" w:rsidRDefault="006C1301" w:rsidP="006C1301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170,7</w:t>
            </w:r>
            <w:r w:rsidR="00060F5E">
              <w:rPr>
                <w:rStyle w:val="Puslapioinaosnuoroda"/>
              </w:rPr>
              <w:t>5</w:t>
            </w:r>
          </w:p>
        </w:tc>
        <w:tc>
          <w:tcPr>
            <w:tcW w:w="812" w:type="pct"/>
          </w:tcPr>
          <w:p w14:paraId="7CF88F33" w14:textId="5F060EDF" w:rsidR="0010348A" w:rsidRPr="000255D8" w:rsidRDefault="0010348A" w:rsidP="00103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I-IV </w:t>
            </w:r>
          </w:p>
        </w:tc>
      </w:tr>
      <w:tr w:rsidR="0010348A" w:rsidRPr="00DF52F7" w14:paraId="6803678D" w14:textId="77777777" w:rsidTr="0099173E">
        <w:trPr>
          <w:gridAfter w:val="1"/>
          <w:wAfter w:w="5" w:type="pct"/>
          <w:trHeight w:val="629"/>
        </w:trPr>
        <w:tc>
          <w:tcPr>
            <w:tcW w:w="2574" w:type="pct"/>
          </w:tcPr>
          <w:p w14:paraId="55C11B67" w14:textId="77777777" w:rsidR="0010348A" w:rsidRDefault="0010348A" w:rsidP="0010348A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Pateiktų paraiškų AV finansavimo suma, mln. Eur</w:t>
            </w:r>
          </w:p>
          <w:p w14:paraId="6C4511E3" w14:textId="77777777" w:rsidR="0010348A" w:rsidRDefault="0010348A" w:rsidP="0010348A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iš jų, pagal Ūkio ministerijos priemones</w:t>
            </w:r>
          </w:p>
          <w:p w14:paraId="20DA2A11" w14:textId="2503BB7C" w:rsidR="0010348A" w:rsidRPr="00DF52F7" w:rsidRDefault="0010348A" w:rsidP="0010348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  <w:t>pagal Energetikos ministerijos priemones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6BEC9E4" w14:textId="44BA2962" w:rsidR="0010348A" w:rsidRPr="0010348A" w:rsidRDefault="0010348A" w:rsidP="0010348A">
            <w:pPr>
              <w:ind w:left="284" w:hanging="284"/>
              <w:contextualSpacing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10348A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14,</w:t>
            </w:r>
            <w:r w:rsidR="0001473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13</w:t>
            </w:r>
          </w:p>
          <w:p w14:paraId="0053EAE0" w14:textId="77777777" w:rsidR="0010348A" w:rsidRDefault="0010348A" w:rsidP="0010348A">
            <w:p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E664BF2" w14:textId="77777777" w:rsidR="0010348A" w:rsidRDefault="0010348A" w:rsidP="0010348A">
            <w:p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13,5</w:t>
            </w:r>
          </w:p>
          <w:p w14:paraId="0F57FB57" w14:textId="25A222D1" w:rsidR="0010348A" w:rsidRDefault="0010348A" w:rsidP="0010348A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0,63</w:t>
            </w:r>
          </w:p>
        </w:tc>
        <w:tc>
          <w:tcPr>
            <w:tcW w:w="799" w:type="pct"/>
          </w:tcPr>
          <w:p w14:paraId="3D51F0CD" w14:textId="03F32C3D" w:rsidR="0010348A" w:rsidRPr="000255D8" w:rsidRDefault="006C1301" w:rsidP="0010348A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82</w:t>
            </w:r>
            <w:r w:rsidR="0010348A" w:rsidRPr="0071351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,0</w:t>
            </w:r>
          </w:p>
          <w:p w14:paraId="0B8FCB28" w14:textId="77777777" w:rsidR="0010348A" w:rsidRPr="000255D8" w:rsidRDefault="0010348A" w:rsidP="0010348A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14:paraId="2671797A" w14:textId="36D436F9" w:rsidR="0010348A" w:rsidRPr="000255D8" w:rsidRDefault="0010348A" w:rsidP="0010348A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0255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55,0</w:t>
            </w:r>
          </w:p>
          <w:p w14:paraId="6A4DFCC8" w14:textId="22F4D8F5" w:rsidR="0010348A" w:rsidRPr="000255D8" w:rsidRDefault="006C1301" w:rsidP="006C1301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284" w:hanging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27</w:t>
            </w:r>
            <w:r w:rsidR="0010348A" w:rsidRPr="000255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lt-LT" w:eastAsia="lt-LT"/>
              </w:rPr>
              <w:t>,0</w:t>
            </w:r>
          </w:p>
        </w:tc>
        <w:tc>
          <w:tcPr>
            <w:tcW w:w="812" w:type="pct"/>
          </w:tcPr>
          <w:p w14:paraId="4CE77F17" w14:textId="5F19EFA4" w:rsidR="0010348A" w:rsidRPr="000255D8" w:rsidRDefault="0010348A" w:rsidP="001034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I-</w:t>
            </w: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</w:p>
        </w:tc>
      </w:tr>
    </w:tbl>
    <w:p w14:paraId="65A87006" w14:textId="77777777" w:rsidR="003E1CC3" w:rsidRPr="00DF52F7" w:rsidRDefault="003E1CC3" w:rsidP="00AB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lt-LT"/>
        </w:rPr>
      </w:pPr>
    </w:p>
    <w:p w14:paraId="3AEB82E5" w14:textId="77777777" w:rsidR="00684F4E" w:rsidRPr="00DF52F7" w:rsidRDefault="00684F4E" w:rsidP="00AB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lt-LT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5097"/>
        <w:gridCol w:w="1417"/>
        <w:gridCol w:w="1548"/>
        <w:gridCol w:w="1566"/>
      </w:tblGrid>
      <w:tr w:rsidR="000255D8" w:rsidRPr="00DF52F7" w14:paraId="3136F460" w14:textId="77777777" w:rsidTr="000255D8">
        <w:trPr>
          <w:trHeight w:val="512"/>
        </w:trPr>
        <w:tc>
          <w:tcPr>
            <w:tcW w:w="5000" w:type="pct"/>
            <w:gridSpan w:val="4"/>
            <w:shd w:val="clear" w:color="auto" w:fill="FFF2CC" w:themeFill="accent4" w:themeFillTint="33"/>
          </w:tcPr>
          <w:p w14:paraId="780964E1" w14:textId="77777777" w:rsidR="000255D8" w:rsidRPr="00DF52F7" w:rsidRDefault="000255D8" w:rsidP="00AB524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 strateginis tikslas –</w:t>
            </w:r>
            <w:r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teikti paslaugas ir informaciją, susijusią su ES struktūrinių fondų lėšų panaudojimu, projektams įgyvendinti</w:t>
            </w:r>
          </w:p>
          <w:p w14:paraId="1B6FF5D7" w14:textId="77777777" w:rsidR="000255D8" w:rsidRPr="00DF52F7" w:rsidRDefault="000255D8" w:rsidP="000255D8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lt-LT"/>
              </w:rPr>
            </w:pPr>
          </w:p>
        </w:tc>
      </w:tr>
      <w:tr w:rsidR="000255D8" w:rsidRPr="00DF52F7" w14:paraId="06E3D79A" w14:textId="77777777" w:rsidTr="000255D8">
        <w:tc>
          <w:tcPr>
            <w:tcW w:w="5000" w:type="pct"/>
            <w:gridSpan w:val="4"/>
            <w:shd w:val="clear" w:color="auto" w:fill="D9E2F3" w:themeFill="accent5" w:themeFillTint="33"/>
          </w:tcPr>
          <w:p w14:paraId="55E92A7A" w14:textId="77777777" w:rsidR="000255D8" w:rsidRDefault="000255D8" w:rsidP="0096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Pagrindiniai rodikliai </w:t>
            </w:r>
          </w:p>
          <w:p w14:paraId="3F64537E" w14:textId="2E2C2477" w:rsidR="000F1F59" w:rsidRPr="00DF52F7" w:rsidRDefault="000F1F59" w:rsidP="00961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0255D8" w:rsidRPr="00DF52F7" w14:paraId="24547A33" w14:textId="77777777" w:rsidTr="0099173E">
        <w:tc>
          <w:tcPr>
            <w:tcW w:w="2647" w:type="pct"/>
            <w:vAlign w:val="center"/>
          </w:tcPr>
          <w:p w14:paraId="6DD2E5B7" w14:textId="77777777" w:rsidR="000255D8" w:rsidRPr="00DF52F7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736" w:type="pct"/>
          </w:tcPr>
          <w:p w14:paraId="4EC39537" w14:textId="77777777" w:rsidR="000255D8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Faktas</w:t>
            </w:r>
          </w:p>
          <w:p w14:paraId="40404303" w14:textId="77777777" w:rsidR="000255D8" w:rsidRPr="00DF52F7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2016 m.</w:t>
            </w:r>
          </w:p>
        </w:tc>
        <w:tc>
          <w:tcPr>
            <w:tcW w:w="804" w:type="pct"/>
          </w:tcPr>
          <w:p w14:paraId="7C57905F" w14:textId="77777777" w:rsidR="000255D8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Planas </w:t>
            </w:r>
          </w:p>
          <w:p w14:paraId="464A74E3" w14:textId="6E7FA2E3" w:rsidR="000255D8" w:rsidRPr="00DF52F7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2017 m. </w:t>
            </w: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12" w:type="pct"/>
            <w:vAlign w:val="center"/>
          </w:tcPr>
          <w:p w14:paraId="3173035B" w14:textId="77777777" w:rsidR="000255D8" w:rsidRPr="00DF52F7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Atsiskaitymo terminas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ketv.</w:t>
            </w:r>
          </w:p>
        </w:tc>
      </w:tr>
      <w:tr w:rsidR="000255D8" w:rsidRPr="00DF52F7" w14:paraId="1F6A6649" w14:textId="77777777" w:rsidTr="0099173E">
        <w:tc>
          <w:tcPr>
            <w:tcW w:w="2647" w:type="pct"/>
          </w:tcPr>
          <w:p w14:paraId="57E0BC96" w14:textId="77777777" w:rsidR="000255D8" w:rsidRPr="00DF52F7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Mokomųjų renginių ir seminarų projektų vykdytojams ir pareiškėjams skaičius, vnt.</w:t>
            </w:r>
          </w:p>
          <w:p w14:paraId="63AF99F6" w14:textId="77777777" w:rsidR="000255D8" w:rsidRPr="00DF52F7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36" w:type="pct"/>
          </w:tcPr>
          <w:p w14:paraId="62B2598B" w14:textId="1B997412" w:rsidR="000255D8" w:rsidRPr="002D712D" w:rsidRDefault="002D712D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D71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25</w:t>
            </w:r>
          </w:p>
        </w:tc>
        <w:tc>
          <w:tcPr>
            <w:tcW w:w="804" w:type="pct"/>
          </w:tcPr>
          <w:p w14:paraId="6F2207E7" w14:textId="77777777" w:rsidR="000255D8" w:rsidRPr="000255D8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20:</w:t>
            </w:r>
          </w:p>
          <w:p w14:paraId="07962407" w14:textId="77777777" w:rsidR="000255D8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  <w:p w14:paraId="25F0E4CE" w14:textId="77777777" w:rsidR="000255D8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  <w:p w14:paraId="25867885" w14:textId="77777777" w:rsidR="000255D8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  <w:p w14:paraId="32CA5D4F" w14:textId="77777777" w:rsidR="000255D8" w:rsidRPr="00DF52F7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812" w:type="pct"/>
          </w:tcPr>
          <w:p w14:paraId="186A751F" w14:textId="77777777" w:rsidR="000255D8" w:rsidRPr="000255D8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I-IV:</w:t>
            </w:r>
          </w:p>
          <w:p w14:paraId="471BDC6F" w14:textId="77777777" w:rsidR="000255D8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</w:p>
          <w:p w14:paraId="12E474AE" w14:textId="77777777" w:rsidR="000255D8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</w:t>
            </w:r>
          </w:p>
          <w:p w14:paraId="615CEF55" w14:textId="77777777" w:rsidR="000255D8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</w:t>
            </w:r>
          </w:p>
          <w:p w14:paraId="45566B97" w14:textId="3198C2C2" w:rsidR="000255D8" w:rsidRPr="00DF52F7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</w:t>
            </w: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0255D8" w:rsidRPr="00DF52F7" w14:paraId="5D316472" w14:textId="77777777" w:rsidTr="0099173E">
        <w:tc>
          <w:tcPr>
            <w:tcW w:w="2647" w:type="pct"/>
          </w:tcPr>
          <w:p w14:paraId="4890E143" w14:textId="3D5E1F52" w:rsidR="000255D8" w:rsidRPr="00DF52F7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Tęstinių 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ES struktūrinių fondų paramos v</w:t>
            </w: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iešinimo kampanijų skaičius, vnt.</w:t>
            </w:r>
          </w:p>
        </w:tc>
        <w:tc>
          <w:tcPr>
            <w:tcW w:w="736" w:type="pct"/>
          </w:tcPr>
          <w:p w14:paraId="791EAE23" w14:textId="3F927775" w:rsidR="000255D8" w:rsidRPr="002D712D" w:rsidRDefault="002D712D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D71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</w:p>
        </w:tc>
        <w:tc>
          <w:tcPr>
            <w:tcW w:w="804" w:type="pct"/>
          </w:tcPr>
          <w:p w14:paraId="290B7D03" w14:textId="77777777" w:rsidR="000255D8" w:rsidRPr="002D712D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D712D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</w:t>
            </w:r>
          </w:p>
        </w:tc>
        <w:tc>
          <w:tcPr>
            <w:tcW w:w="812" w:type="pct"/>
          </w:tcPr>
          <w:p w14:paraId="38C79F27" w14:textId="4C745814" w:rsidR="000255D8" w:rsidRPr="00DF52F7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I-IV</w:t>
            </w: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0255D8" w:rsidRPr="00DF52F7" w14:paraId="7B52D7D3" w14:textId="77777777" w:rsidTr="000255D8">
        <w:tc>
          <w:tcPr>
            <w:tcW w:w="5000" w:type="pct"/>
            <w:gridSpan w:val="4"/>
            <w:shd w:val="clear" w:color="auto" w:fill="D9E2F3" w:themeFill="accent5" w:themeFillTint="33"/>
          </w:tcPr>
          <w:p w14:paraId="6D0F7324" w14:textId="77777777" w:rsidR="000255D8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Siekiami veiklos rezultatai </w:t>
            </w:r>
          </w:p>
          <w:p w14:paraId="28C07B9C" w14:textId="5FEF183E" w:rsidR="000F1F59" w:rsidRPr="00DF52F7" w:rsidRDefault="000F1F59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0255D8" w:rsidRPr="00DF52F7" w14:paraId="2F3E7E85" w14:textId="77777777" w:rsidTr="0099173E">
        <w:tc>
          <w:tcPr>
            <w:tcW w:w="2647" w:type="pct"/>
            <w:vAlign w:val="center"/>
          </w:tcPr>
          <w:p w14:paraId="342EB6C9" w14:textId="77777777" w:rsidR="000255D8" w:rsidRPr="00DF52F7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Rodiklis</w:t>
            </w:r>
          </w:p>
        </w:tc>
        <w:tc>
          <w:tcPr>
            <w:tcW w:w="736" w:type="pct"/>
          </w:tcPr>
          <w:p w14:paraId="7F26FDAE" w14:textId="77777777" w:rsidR="000255D8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Faktas</w:t>
            </w:r>
          </w:p>
          <w:p w14:paraId="15DEF30D" w14:textId="77777777" w:rsidR="000255D8" w:rsidRPr="00DF52F7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2016 m.</w:t>
            </w:r>
          </w:p>
        </w:tc>
        <w:tc>
          <w:tcPr>
            <w:tcW w:w="804" w:type="pct"/>
          </w:tcPr>
          <w:p w14:paraId="251EF07F" w14:textId="77777777" w:rsidR="000255D8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Planas </w:t>
            </w:r>
          </w:p>
          <w:p w14:paraId="2EFD0983" w14:textId="7281FCA7" w:rsidR="000255D8" w:rsidRPr="00DF52F7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2017 m. </w:t>
            </w: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812" w:type="pct"/>
            <w:vAlign w:val="center"/>
          </w:tcPr>
          <w:p w14:paraId="3C62A41B" w14:textId="77777777" w:rsidR="000255D8" w:rsidRPr="00DF52F7" w:rsidRDefault="000255D8" w:rsidP="00025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Atsiskaitymo terminas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, ketv. </w:t>
            </w:r>
          </w:p>
        </w:tc>
      </w:tr>
      <w:tr w:rsidR="000255D8" w:rsidRPr="00DF52F7" w14:paraId="4746937F" w14:textId="77777777" w:rsidTr="0099173E">
        <w:tc>
          <w:tcPr>
            <w:tcW w:w="2647" w:type="pct"/>
          </w:tcPr>
          <w:p w14:paraId="0E6C811B" w14:textId="5F5F4A4F" w:rsidR="000255D8" w:rsidRPr="00DF52F7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Tikslinių grupių nuomonės apklausų tyrimo respondentų, gerai vertinančių LVPA mokomuosius renginius ir seminarus dalis, proc.</w:t>
            </w:r>
          </w:p>
        </w:tc>
        <w:tc>
          <w:tcPr>
            <w:tcW w:w="736" w:type="pct"/>
          </w:tcPr>
          <w:p w14:paraId="73A1A905" w14:textId="5ED56B6B" w:rsidR="000255D8" w:rsidRPr="00DF52F7" w:rsidRDefault="002D712D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85,0</w:t>
            </w:r>
          </w:p>
        </w:tc>
        <w:tc>
          <w:tcPr>
            <w:tcW w:w="804" w:type="pct"/>
          </w:tcPr>
          <w:p w14:paraId="1BDE1835" w14:textId="4FB75291" w:rsidR="000255D8" w:rsidRPr="000255D8" w:rsidRDefault="00E67229" w:rsidP="00777F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ne mažiau </w:t>
            </w:r>
            <w:r w:rsidR="00777F4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80</w:t>
            </w:r>
            <w:r w:rsidR="000255D8"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,0</w:t>
            </w:r>
          </w:p>
        </w:tc>
        <w:tc>
          <w:tcPr>
            <w:tcW w:w="812" w:type="pct"/>
          </w:tcPr>
          <w:p w14:paraId="3253789B" w14:textId="7FC695B7" w:rsidR="000255D8" w:rsidRPr="000255D8" w:rsidRDefault="000255D8" w:rsidP="00025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255D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IV </w:t>
            </w:r>
          </w:p>
        </w:tc>
      </w:tr>
    </w:tbl>
    <w:p w14:paraId="79954A06" w14:textId="30204FD4" w:rsidR="00AB5246" w:rsidRPr="00DF52F7" w:rsidRDefault="00AB524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BE9C470" w14:textId="77777777" w:rsidR="00B31889" w:rsidRDefault="00B31889" w:rsidP="00AB52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F45AEAE" w14:textId="77777777" w:rsidR="005B7AF6" w:rsidRPr="00DF52F7" w:rsidRDefault="00623462" w:rsidP="00AB52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5B7AF6" w:rsidRPr="00DF52F7">
        <w:rPr>
          <w:rFonts w:ascii="Times New Roman" w:hAnsi="Times New Roman" w:cs="Times New Roman"/>
          <w:b/>
          <w:sz w:val="24"/>
          <w:szCs w:val="24"/>
          <w:lang w:val="lt-LT"/>
        </w:rPr>
        <w:t>01</w:t>
      </w:r>
      <w:r w:rsidR="007A6337" w:rsidRPr="00DF52F7"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="005B7AF6" w:rsidRPr="00DF52F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SVARBIAUSI DARBAI</w:t>
      </w:r>
    </w:p>
    <w:p w14:paraId="5F4B35A1" w14:textId="77777777" w:rsidR="00AB5246" w:rsidRDefault="00AB5246" w:rsidP="00AB52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221FAA4" w14:textId="77777777" w:rsidR="00B31889" w:rsidRPr="00DF52F7" w:rsidRDefault="00B31889" w:rsidP="00AB52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3555B65" w14:textId="77777777" w:rsidR="00AD7F37" w:rsidRPr="00DF52F7" w:rsidRDefault="00AD7F37" w:rsidP="00B31889">
      <w:pPr>
        <w:numPr>
          <w:ilvl w:val="0"/>
          <w:numId w:val="23"/>
        </w:numPr>
        <w:tabs>
          <w:tab w:val="left" w:pos="284"/>
          <w:tab w:val="left" w:pos="993"/>
        </w:tabs>
        <w:kinsoku w:val="0"/>
        <w:overflowPunct w:val="0"/>
        <w:spacing w:after="0" w:line="48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F52F7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Sumažinti administracinę naštą pareiškėjams ir projektų vykdytojams, tuo tikslu: </w:t>
      </w:r>
      <w:r w:rsidRPr="00DF52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</w:p>
    <w:p w14:paraId="5CA01FD6" w14:textId="77777777" w:rsidR="00AD7F37" w:rsidRPr="00DF52F7" w:rsidRDefault="00AD7F37" w:rsidP="00B31889">
      <w:pPr>
        <w:pStyle w:val="Sraopastraipa"/>
        <w:numPr>
          <w:ilvl w:val="0"/>
          <w:numId w:val="24"/>
        </w:numPr>
        <w:tabs>
          <w:tab w:val="left" w:pos="0"/>
          <w:tab w:val="left" w:pos="426"/>
          <w:tab w:val="left" w:pos="993"/>
        </w:tabs>
        <w:kinsoku w:val="0"/>
        <w:overflowPunct w:val="0"/>
        <w:spacing w:after="0" w:line="48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52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sudaryti darbo grupę </w:t>
      </w:r>
      <w:r w:rsidRPr="00DF52F7">
        <w:rPr>
          <w:rFonts w:ascii="Times New Roman" w:eastAsia="Calibri" w:hAnsi="Times New Roman" w:cs="Times New Roman"/>
          <w:sz w:val="24"/>
          <w:szCs w:val="24"/>
        </w:rPr>
        <w:t>administracinės naštos pareiškėjams ir projektų vykdytojams analizei atlikti ir pasiūlymams parengti (I</w:t>
      </w:r>
      <w:r w:rsidR="001E1A04">
        <w:rPr>
          <w:rFonts w:ascii="Times New Roman" w:eastAsia="Calibri" w:hAnsi="Times New Roman" w:cs="Times New Roman"/>
          <w:sz w:val="24"/>
          <w:szCs w:val="24"/>
        </w:rPr>
        <w:t>I</w:t>
      </w:r>
      <w:r w:rsidRPr="00DF52F7">
        <w:rPr>
          <w:rFonts w:ascii="Times New Roman" w:eastAsia="Calibri" w:hAnsi="Times New Roman" w:cs="Times New Roman"/>
          <w:sz w:val="24"/>
          <w:szCs w:val="24"/>
        </w:rPr>
        <w:t xml:space="preserve"> ketv.)</w:t>
      </w:r>
      <w:r w:rsidR="002F1B1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F22F09" w14:textId="77777777" w:rsidR="00AD7F37" w:rsidRDefault="00AD7F37" w:rsidP="00B31889">
      <w:pPr>
        <w:pStyle w:val="Sraopastraipa"/>
        <w:numPr>
          <w:ilvl w:val="0"/>
          <w:numId w:val="24"/>
        </w:numPr>
        <w:tabs>
          <w:tab w:val="left" w:pos="284"/>
          <w:tab w:val="left" w:pos="993"/>
        </w:tabs>
        <w:kinsoku w:val="0"/>
        <w:overflowPunct w:val="0"/>
        <w:spacing w:after="0" w:line="48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F52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įvertinti darbo grupės pateiktas išvadas ir priimti sprendimus arba pateikti siūlymus </w:t>
      </w:r>
      <w:r w:rsidR="00834DB9" w:rsidRPr="00DF52F7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834DB9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834DB9" w:rsidRPr="00DF52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F52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Pr="00DF52F7">
        <w:rPr>
          <w:rFonts w:ascii="Times New Roman" w:eastAsia="Calibri" w:hAnsi="Times New Roman" w:cs="Times New Roman"/>
          <w:sz w:val="24"/>
          <w:szCs w:val="24"/>
        </w:rPr>
        <w:t>administracinės naštos pareiškėjams ir projektų vykdytojams sumažinimo, atsisakant perteklinių veiklų ir papildomų reikalavimų, nenumatytų PAFT ir kituose teisės aktuose (II</w:t>
      </w:r>
      <w:r w:rsidR="008C21C4">
        <w:rPr>
          <w:rFonts w:ascii="Times New Roman" w:eastAsia="Calibri" w:hAnsi="Times New Roman" w:cs="Times New Roman"/>
          <w:sz w:val="24"/>
          <w:szCs w:val="24"/>
        </w:rPr>
        <w:t>I-IV</w:t>
      </w:r>
      <w:r w:rsidRPr="00DF52F7">
        <w:rPr>
          <w:rFonts w:ascii="Times New Roman" w:eastAsia="Calibri" w:hAnsi="Times New Roman" w:cs="Times New Roman"/>
          <w:sz w:val="24"/>
          <w:szCs w:val="24"/>
        </w:rPr>
        <w:t xml:space="preserve"> ketv.)</w:t>
      </w:r>
      <w:r w:rsidR="002F1B13">
        <w:rPr>
          <w:rFonts w:ascii="Times New Roman" w:eastAsia="Calibri" w:hAnsi="Times New Roman" w:cs="Times New Roman"/>
          <w:sz w:val="24"/>
          <w:szCs w:val="24"/>
        </w:rPr>
        <w:t>;</w:t>
      </w:r>
      <w:r w:rsidRPr="00DF52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14:paraId="37031B07" w14:textId="0BB197E0" w:rsidR="00AA04FD" w:rsidRDefault="00AA04FD" w:rsidP="00B31889">
      <w:pPr>
        <w:tabs>
          <w:tab w:val="left" w:pos="284"/>
          <w:tab w:val="left" w:pos="993"/>
        </w:tabs>
        <w:kinsoku w:val="0"/>
        <w:overflowPunct w:val="0"/>
        <w:spacing w:after="0" w:line="48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-   u</w:t>
      </w:r>
      <w:r w:rsidR="000F0B3E" w:rsidRPr="00AA04FD">
        <w:rPr>
          <w:rFonts w:ascii="Times New Roman" w:hAnsi="Times New Roman" w:cs="Times New Roman"/>
          <w:sz w:val="24"/>
          <w:szCs w:val="24"/>
          <w:lang w:val="lt-LT"/>
        </w:rPr>
        <w:t>žtikrinti LVPA Antikorupcinės programos įgyvendinimo 2017</w:t>
      </w:r>
      <w:r w:rsidR="000F0B3E" w:rsidRPr="00AA04FD">
        <w:rPr>
          <w:rFonts w:ascii="Times New Roman" w:eastAsia="Times New Roman" w:hAnsi="Times New Roman" w:cs="Times New Roman"/>
          <w:sz w:val="24"/>
          <w:szCs w:val="24"/>
          <w:lang w:val="lt-LT"/>
        </w:rPr>
        <w:t>–</w:t>
      </w:r>
      <w:r w:rsidR="000F0B3E" w:rsidRPr="00AA04FD">
        <w:rPr>
          <w:rFonts w:ascii="Times New Roman" w:hAnsi="Times New Roman" w:cs="Times New Roman"/>
          <w:sz w:val="24"/>
          <w:szCs w:val="24"/>
          <w:lang w:val="lt-LT"/>
        </w:rPr>
        <w:t>2019 m. priemonių plane 2017 m. numatytų priemonių, įskaitant numatytas administracinės naštos mažinimo priemones, įvykdymą</w:t>
      </w:r>
      <w:r w:rsidR="000F0B3E" w:rsidRPr="00AA04F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</w:t>
      </w:r>
      <w:r w:rsidR="00CC627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I-</w:t>
      </w:r>
      <w:r w:rsidR="000F0B3E" w:rsidRPr="00AA04F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IV ketv.).</w:t>
      </w:r>
    </w:p>
    <w:p w14:paraId="1CE56DBB" w14:textId="77777777" w:rsidR="00AD7F37" w:rsidRPr="00DF52F7" w:rsidRDefault="00AD7F37" w:rsidP="00B31889">
      <w:pPr>
        <w:numPr>
          <w:ilvl w:val="0"/>
          <w:numId w:val="23"/>
        </w:numPr>
        <w:tabs>
          <w:tab w:val="left" w:pos="284"/>
          <w:tab w:val="left" w:pos="993"/>
        </w:tabs>
        <w:kinsoku w:val="0"/>
        <w:overflowPunct w:val="0"/>
        <w:spacing w:after="0" w:line="48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F52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Siekiant užtikrinti aukštesnę projektų vertinimo kokybę, pasirašyti ekspertinių paslaugų teikimo sutartis su tiekėjais, atrinktais viešojo konkurso būdu bei pradėti naudotis į EK ekspertų bazę įtrauktų ekspertų paslaugomis (II ketv.).   </w:t>
      </w:r>
    </w:p>
    <w:p w14:paraId="28AF558F" w14:textId="77777777" w:rsidR="00AD7F37" w:rsidRPr="00DF52F7" w:rsidRDefault="00AD7F37" w:rsidP="00B31889">
      <w:pPr>
        <w:numPr>
          <w:ilvl w:val="0"/>
          <w:numId w:val="23"/>
        </w:numPr>
        <w:tabs>
          <w:tab w:val="left" w:pos="284"/>
          <w:tab w:val="left" w:pos="993"/>
        </w:tabs>
        <w:kinsoku w:val="0"/>
        <w:overflowPunct w:val="0"/>
        <w:spacing w:after="0" w:line="48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DF52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Parengti LVPA personalo politikos gaires (II ketv.)</w:t>
      </w:r>
      <w:r w:rsidR="001E1397" w:rsidRPr="00DF52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atlikti darbuotojų įsitraukimo tyrimą (IV ketv.).</w:t>
      </w:r>
    </w:p>
    <w:p w14:paraId="583825B9" w14:textId="77777777" w:rsidR="00AD7F37" w:rsidRPr="00DF52F7" w:rsidRDefault="00AD7F37" w:rsidP="00B31889">
      <w:pPr>
        <w:numPr>
          <w:ilvl w:val="0"/>
          <w:numId w:val="23"/>
        </w:numPr>
        <w:tabs>
          <w:tab w:val="left" w:pos="426"/>
          <w:tab w:val="left" w:pos="993"/>
        </w:tabs>
        <w:spacing w:after="200" w:line="48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F52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Atlikti LVPA teikiamų viešųjų paslaugų nepriklausomą vertinimą (IV ketv.).</w:t>
      </w:r>
    </w:p>
    <w:p w14:paraId="7D0C082A" w14:textId="77777777" w:rsidR="00014D3E" w:rsidRPr="00DF52F7" w:rsidRDefault="00014D3E" w:rsidP="00AB5246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555565B" w14:textId="77777777" w:rsidR="00C333DB" w:rsidRPr="00DF52F7" w:rsidRDefault="00C333DB" w:rsidP="00AB5246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F52F7">
        <w:rPr>
          <w:rFonts w:ascii="Times New Roman" w:hAnsi="Times New Roman" w:cs="Times New Roman"/>
          <w:b/>
          <w:sz w:val="24"/>
          <w:szCs w:val="24"/>
          <w:lang w:val="lt-LT"/>
        </w:rPr>
        <w:t>201</w:t>
      </w:r>
      <w:r w:rsidR="007A6337" w:rsidRPr="00DF52F7">
        <w:rPr>
          <w:rFonts w:ascii="Times New Roman" w:hAnsi="Times New Roman" w:cs="Times New Roman"/>
          <w:b/>
          <w:sz w:val="24"/>
          <w:szCs w:val="24"/>
          <w:lang w:val="lt-LT"/>
        </w:rPr>
        <w:t>7</w:t>
      </w:r>
      <w:r w:rsidRPr="00DF52F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</w:t>
      </w:r>
      <w:r w:rsidR="009A0505" w:rsidRPr="00DF52F7">
        <w:rPr>
          <w:rFonts w:ascii="Times New Roman" w:hAnsi="Times New Roman" w:cs="Times New Roman"/>
          <w:b/>
          <w:sz w:val="24"/>
          <w:szCs w:val="24"/>
          <w:lang w:val="lt-LT"/>
        </w:rPr>
        <w:t xml:space="preserve">LVPA </w:t>
      </w:r>
      <w:r w:rsidRPr="00DF52F7">
        <w:rPr>
          <w:rFonts w:ascii="Times New Roman" w:hAnsi="Times New Roman" w:cs="Times New Roman"/>
          <w:b/>
          <w:sz w:val="24"/>
          <w:szCs w:val="24"/>
          <w:lang w:val="lt-LT"/>
        </w:rPr>
        <w:t>FINANSINIS PLANAS</w:t>
      </w:r>
      <w:r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 (iš visų finansavimo šaltinių)</w:t>
      </w:r>
      <w:r w:rsidR="00E026CB"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132CE" w:rsidRPr="00DF52F7">
        <w:rPr>
          <w:rFonts w:ascii="Times New Roman" w:eastAsia="Calibri" w:hAnsi="Times New Roman" w:cs="Times New Roman"/>
          <w:sz w:val="24"/>
          <w:szCs w:val="24"/>
          <w:lang w:val="lt-LT"/>
        </w:rPr>
        <w:t>–</w:t>
      </w:r>
      <w:r w:rsidR="00E026CB"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4 </w:t>
      </w:r>
      <w:r w:rsidR="00FF4D41" w:rsidRPr="00DF52F7">
        <w:rPr>
          <w:rFonts w:ascii="Times New Roman" w:hAnsi="Times New Roman" w:cs="Times New Roman"/>
          <w:sz w:val="24"/>
          <w:szCs w:val="24"/>
          <w:lang w:val="lt-LT"/>
        </w:rPr>
        <w:t>889</w:t>
      </w:r>
      <w:r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 000</w:t>
      </w:r>
      <w:r w:rsidR="009B7462" w:rsidRPr="00DF52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0931" w:rsidRPr="00DF52F7">
        <w:rPr>
          <w:rFonts w:ascii="Times New Roman" w:hAnsi="Times New Roman" w:cs="Times New Roman"/>
          <w:sz w:val="24"/>
          <w:szCs w:val="24"/>
          <w:lang w:val="lt-LT"/>
        </w:rPr>
        <w:t>eurų</w:t>
      </w:r>
      <w:r w:rsidR="009360DC" w:rsidRPr="00DF52F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C679514" w14:textId="77777777" w:rsidR="00E6041B" w:rsidRDefault="00E64875" w:rsidP="00E64875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  </w:t>
      </w:r>
    </w:p>
    <w:p w14:paraId="6DB7E7FE" w14:textId="6DEEF5F5" w:rsidR="00370237" w:rsidRPr="00370237" w:rsidRDefault="009A0505" w:rsidP="00F55BCB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0237">
        <w:rPr>
          <w:rFonts w:ascii="Times New Roman" w:hAnsi="Times New Roman" w:cs="Times New Roman"/>
          <w:b/>
          <w:sz w:val="24"/>
          <w:szCs w:val="24"/>
          <w:lang w:val="lt-LT"/>
        </w:rPr>
        <w:t xml:space="preserve">LVPA </w:t>
      </w:r>
      <w:r w:rsidR="00C333DB" w:rsidRPr="00370237">
        <w:rPr>
          <w:rFonts w:ascii="Times New Roman" w:hAnsi="Times New Roman" w:cs="Times New Roman"/>
          <w:b/>
          <w:sz w:val="24"/>
          <w:szCs w:val="24"/>
          <w:lang w:val="lt-LT"/>
        </w:rPr>
        <w:t>ŽMOGIŠKIEJI IŠTEKLIAI</w:t>
      </w:r>
      <w:r w:rsidRPr="0037023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43793" w:rsidRPr="00370237">
        <w:rPr>
          <w:rFonts w:ascii="Times New Roman" w:eastAsia="Calibri" w:hAnsi="Times New Roman" w:cs="Times New Roman"/>
          <w:sz w:val="24"/>
          <w:szCs w:val="24"/>
          <w:lang w:val="lt-LT"/>
        </w:rPr>
        <w:t>–</w:t>
      </w:r>
      <w:r w:rsidR="00143793" w:rsidRPr="0037023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70237" w:rsidRPr="00370237">
        <w:rPr>
          <w:rFonts w:ascii="Times New Roman" w:hAnsi="Times New Roman"/>
          <w:bCs/>
          <w:sz w:val="24"/>
          <w:szCs w:val="24"/>
        </w:rPr>
        <w:t>Lietuvos Respublikos ūkio ministro 2015 m. birželio 22 d. įsakymu Nr. 4-403,</w:t>
      </w:r>
      <w:r w:rsidR="00370237" w:rsidRPr="00370237">
        <w:t xml:space="preserve"> </w:t>
      </w:r>
      <w:r w:rsidR="00370237" w:rsidRPr="00370237">
        <w:rPr>
          <w:rFonts w:ascii="Times New Roman" w:hAnsi="Times New Roman"/>
          <w:bCs/>
          <w:sz w:val="24"/>
          <w:szCs w:val="24"/>
        </w:rPr>
        <w:t>patvirtintos</w:t>
      </w:r>
      <w:r w:rsidR="00370237" w:rsidRPr="00370237">
        <w:t xml:space="preserve"> </w:t>
      </w:r>
      <w:r w:rsidR="00370237" w:rsidRPr="00370237">
        <w:rPr>
          <w:rFonts w:ascii="Times New Roman" w:hAnsi="Times New Roman"/>
          <w:bCs/>
          <w:sz w:val="24"/>
          <w:szCs w:val="24"/>
        </w:rPr>
        <w:t>178 pareigybės. 2016 m. gruodžio 30 d. faktiškai buvo užimta 150 pareigybių. Planuojama, kad 2017 m. faktiškai bus užimta 160 pareigybių.</w:t>
      </w:r>
    </w:p>
    <w:p w14:paraId="434BEBE4" w14:textId="77777777" w:rsidR="00370237" w:rsidRDefault="00370237" w:rsidP="00370237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3B893B5" w14:textId="77777777" w:rsidR="00952062" w:rsidRDefault="00952062" w:rsidP="00AB5246">
      <w:pPr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1E1342C" w14:textId="77777777" w:rsidR="00015599" w:rsidRPr="00DF52F7" w:rsidRDefault="00015599" w:rsidP="00DF52F7">
      <w:pPr>
        <w:spacing w:after="0" w:line="360" w:lineRule="auto"/>
        <w:jc w:val="both"/>
        <w:rPr>
          <w:rFonts w:ascii="Times New Roman" w:hAnsi="Times New Roman" w:cs="Times New Roman"/>
          <w:lang w:val="lt-LT"/>
        </w:rPr>
      </w:pPr>
    </w:p>
    <w:p w14:paraId="479B4D48" w14:textId="77777777" w:rsidR="00872155" w:rsidRPr="00DF52F7" w:rsidRDefault="00872155" w:rsidP="00AB5246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2"/>
          <w:lang w:val="lt-LT"/>
        </w:rPr>
        <w:sectPr w:rsidR="00872155" w:rsidRPr="00DF52F7" w:rsidSect="00923658">
          <w:type w:val="continuous"/>
          <w:pgSz w:w="11906" w:h="16838"/>
          <w:pgMar w:top="851" w:right="567" w:bottom="1134" w:left="1701" w:header="567" w:footer="567" w:gutter="0"/>
          <w:cols w:space="1296"/>
          <w:docGrid w:linePitch="360"/>
        </w:sectPr>
      </w:pPr>
      <w:r w:rsidRPr="00DF52F7">
        <w:rPr>
          <w:rFonts w:ascii="Times New Roman" w:hAnsi="Times New Roman" w:cs="Times New Roman"/>
          <w:sz w:val="22"/>
          <w:lang w:val="lt-LT"/>
        </w:rPr>
        <w:br w:type="page"/>
      </w:r>
    </w:p>
    <w:tbl>
      <w:tblPr>
        <w:tblStyle w:val="Lentelstinklelis1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4678"/>
        <w:gridCol w:w="1134"/>
        <w:gridCol w:w="1418"/>
        <w:gridCol w:w="2268"/>
      </w:tblGrid>
      <w:tr w:rsidR="008273E0" w:rsidRPr="00DF52F7" w14:paraId="70AF537A" w14:textId="77777777" w:rsidTr="00504201">
        <w:trPr>
          <w:trHeight w:val="1300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F0A012" w14:textId="77777777" w:rsidR="008273E0" w:rsidRPr="00DF52F7" w:rsidRDefault="008273E0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lastRenderedPageBreak/>
              <w:t>Ūkio ministerijos įgyvendinamos programos priemonės kodas ir pavadinimas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9398F02" w14:textId="77777777" w:rsidR="008273E0" w:rsidRPr="00DF52F7" w:rsidRDefault="008273E0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Įstaigos veiksmo pavadinimas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30099B" w14:textId="77777777" w:rsidR="008273E0" w:rsidRPr="00DF52F7" w:rsidRDefault="008273E0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Proceso ir (ar) indėlio vertinimo kriterijai ir jų reikšmės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DED5CE6" w14:textId="77777777" w:rsidR="008273E0" w:rsidRPr="00DF52F7" w:rsidRDefault="008273E0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Atsakingi vykdyto-jai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6119202" w14:textId="77777777" w:rsidR="008273E0" w:rsidRPr="00DF52F7" w:rsidRDefault="008273E0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Vykdymo terminas (ketv.)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1B483E" w14:textId="77777777" w:rsidR="008273E0" w:rsidRPr="00DF52F7" w:rsidRDefault="008273E0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Asignavimai (eurais)</w:t>
            </w:r>
            <w:r w:rsidR="00A91FF9" w:rsidRPr="00DF52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 xml:space="preserve"> 2017 metais</w:t>
            </w:r>
          </w:p>
        </w:tc>
      </w:tr>
      <w:tr w:rsidR="008273E0" w:rsidRPr="00DF52F7" w14:paraId="715C7694" w14:textId="77777777" w:rsidTr="007312FA">
        <w:trPr>
          <w:trHeight w:val="412"/>
        </w:trPr>
        <w:tc>
          <w:tcPr>
            <w:tcW w:w="15735" w:type="dxa"/>
            <w:gridSpan w:val="6"/>
            <w:shd w:val="clear" w:color="auto" w:fill="D9E2F3" w:themeFill="accent5" w:themeFillTint="33"/>
          </w:tcPr>
          <w:p w14:paraId="1122712D" w14:textId="77777777" w:rsidR="008273E0" w:rsidRPr="00DF52F7" w:rsidRDefault="008273E0" w:rsidP="00AB524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  <w:highlight w:val="cyan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01-05. ŪKIO PLĖTROS IR KONKURENCINGUMO DIDINIMO PROGRAMA</w:t>
            </w:r>
          </w:p>
        </w:tc>
      </w:tr>
      <w:tr w:rsidR="00F112C7" w:rsidRPr="00DF52F7" w14:paraId="20C3967C" w14:textId="77777777" w:rsidTr="00504201">
        <w:trPr>
          <w:trHeight w:val="1022"/>
        </w:trPr>
        <w:tc>
          <w:tcPr>
            <w:tcW w:w="2410" w:type="dxa"/>
            <w:vMerge w:val="restart"/>
          </w:tcPr>
          <w:p w14:paraId="033E048E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03-01-12 priemonė</w:t>
            </w:r>
          </w:p>
          <w:p w14:paraId="7D416791" w14:textId="77777777" w:rsidR="00F112C7" w:rsidRPr="00DF52F7" w:rsidDel="00E047C2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„</w:t>
            </w:r>
            <w:r w:rsidR="00D84567"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Atlikti viešajai įstaigai Lietuvos verslo paramos agentūrai priskirtas ES fondų investicijų administravimo funkcijas</w:t>
            </w: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“</w:t>
            </w:r>
          </w:p>
        </w:tc>
        <w:tc>
          <w:tcPr>
            <w:tcW w:w="3827" w:type="dxa"/>
          </w:tcPr>
          <w:p w14:paraId="512F176B" w14:textId="77777777" w:rsidR="00F112C7" w:rsidRPr="00DF52F7" w:rsidRDefault="00F112C7" w:rsidP="00AB5246">
            <w:pPr>
              <w:tabs>
                <w:tab w:val="left" w:pos="0"/>
                <w:tab w:val="left" w:pos="603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Audito institucij</w:t>
            </w:r>
            <w:r w:rsidR="005C1FA8" w:rsidRPr="00DF52F7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>os, Europos audito rūmų ir EK auditų rekomendacijų įgyvendinimas</w:t>
            </w:r>
            <w:r w:rsidRPr="00DF52F7">
              <w:rPr>
                <w:rFonts w:ascii="Times New Roman" w:hAnsi="Times New Roman" w:cs="Times New Roman"/>
                <w:bCs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</w:tcPr>
          <w:p w14:paraId="16A24A73" w14:textId="624BBA14" w:rsidR="00F112C7" w:rsidRPr="00DF52F7" w:rsidRDefault="00027F1F" w:rsidP="00AB5246">
            <w:pPr>
              <w:tabs>
                <w:tab w:val="left" w:pos="0"/>
                <w:tab w:val="left" w:pos="459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L</w:t>
            </w:r>
            <w:r w:rsidR="0030734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aiku įgyvendint</w:t>
            </w:r>
            <w:r w:rsidR="00254735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os</w:t>
            </w:r>
            <w:r w:rsidR="0030734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vis</w:t>
            </w:r>
            <w:r w:rsidR="00254735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o</w:t>
            </w:r>
            <w:r w:rsidR="0030734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s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išorės auditų</w:t>
            </w:r>
            <w:r w:rsidR="0030734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rekomendacij</w:t>
            </w:r>
            <w:r w:rsidR="00254735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o</w:t>
            </w:r>
            <w:r w:rsidR="0030734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s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134" w:type="dxa"/>
          </w:tcPr>
          <w:p w14:paraId="6B0EEACD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RKVS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52B030" w14:textId="67639356" w:rsidR="00F112C7" w:rsidRPr="00DF52F7" w:rsidRDefault="00B31889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I-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DE2B4" w14:textId="77777777" w:rsidR="00F112C7" w:rsidRPr="00DF52F7" w:rsidRDefault="00F112C7" w:rsidP="00AB52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4 7</w:t>
            </w:r>
            <w:r w:rsidR="005F3CD4"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4</w:t>
            </w:r>
            <w:r w:rsidR="001D4492"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9</w:t>
            </w: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000,0</w:t>
            </w:r>
          </w:p>
          <w:p w14:paraId="6A2ECEE2" w14:textId="77777777" w:rsidR="00F112C7" w:rsidRPr="00DF52F7" w:rsidRDefault="00F112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(</w:t>
            </w:r>
            <w:r w:rsidR="001D4492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4 033 000,0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– 2014-2020 m. ES techninė parama, </w:t>
            </w:r>
            <w:r w:rsidR="001D4492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712 000,0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– </w:t>
            </w:r>
            <w:r w:rsidR="001D4492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2014</w:t>
            </w:r>
            <w:r w:rsidR="00834DB9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–</w:t>
            </w:r>
            <w:r w:rsidR="001D4492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2020 m. ES techninės paramos bendrojo finansavimo lėšos, 4 000,0 – 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valstybės biudžeto lėšos)</w:t>
            </w:r>
          </w:p>
        </w:tc>
      </w:tr>
      <w:tr w:rsidR="00F112C7" w:rsidRPr="00DF52F7" w14:paraId="2227E326" w14:textId="77777777" w:rsidTr="00504201">
        <w:trPr>
          <w:trHeight w:val="1159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A70D97C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265413A2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Paraiškų vertinimas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282006D" w14:textId="006A81D9" w:rsidR="00F112C7" w:rsidRPr="00DF52F7" w:rsidRDefault="00F112C7" w:rsidP="009613C8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Įvertintų paraiškų skaičius –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1600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</w:t>
            </w:r>
            <w:r w:rsidR="00B233FD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  <w:r w:rsidR="00890FBD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570F84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36FB2475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BB25D64" w14:textId="77777777" w:rsidR="00F112C7" w:rsidRPr="00DF52F7" w:rsidRDefault="00F112C7" w:rsidP="00AB524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305</w:t>
            </w:r>
          </w:p>
          <w:p w14:paraId="64B5AAB4" w14:textId="77777777" w:rsidR="00F112C7" w:rsidRPr="00DF52F7" w:rsidRDefault="00F112C7" w:rsidP="00AB524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245</w:t>
            </w:r>
          </w:p>
          <w:p w14:paraId="2862B261" w14:textId="77777777" w:rsidR="00F112C7" w:rsidRPr="00DF52F7" w:rsidRDefault="00F112C7" w:rsidP="00AB524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III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495</w:t>
            </w:r>
          </w:p>
          <w:p w14:paraId="6D61F7CC" w14:textId="77777777" w:rsidR="00890FBD" w:rsidRPr="00DF52F7" w:rsidRDefault="00F112C7" w:rsidP="00AB524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555</w:t>
            </w:r>
          </w:p>
          <w:p w14:paraId="626C2EAA" w14:textId="77777777" w:rsidR="002B3C02" w:rsidRPr="00DF52F7" w:rsidRDefault="002B3C02" w:rsidP="00A70E7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71CC7" w14:textId="77777777" w:rsidR="00F112C7" w:rsidRPr="00DF52F7" w:rsidDel="00C02C8D" w:rsidRDefault="00F112C7" w:rsidP="00AB52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</w:tc>
      </w:tr>
      <w:tr w:rsidR="00F112C7" w:rsidRPr="00DF52F7" w14:paraId="53BD908D" w14:textId="77777777" w:rsidTr="00504201">
        <w:trPr>
          <w:trHeight w:val="1397"/>
        </w:trPr>
        <w:tc>
          <w:tcPr>
            <w:tcW w:w="2410" w:type="dxa"/>
            <w:vMerge/>
          </w:tcPr>
          <w:p w14:paraId="6F41EF29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4F80E73D" w14:textId="77777777" w:rsidR="00F112C7" w:rsidRPr="00DF52F7" w:rsidRDefault="000A1DED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Projekto s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utarčių pasirašymas </w:t>
            </w:r>
          </w:p>
        </w:tc>
        <w:tc>
          <w:tcPr>
            <w:tcW w:w="4678" w:type="dxa"/>
          </w:tcPr>
          <w:p w14:paraId="1F33E601" w14:textId="6536836C" w:rsidR="00F112C7" w:rsidRPr="00DF52F7" w:rsidRDefault="00F112C7" w:rsidP="009613C8">
            <w:pPr>
              <w:tabs>
                <w:tab w:val="left" w:pos="-57"/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Pasirašytų sutarčių skaičius –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760</w:t>
            </w:r>
            <w:r w:rsidR="00890FBD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</w:t>
            </w:r>
            <w:r w:rsidR="00B233FD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134" w:type="dxa"/>
          </w:tcPr>
          <w:p w14:paraId="250B7BD9" w14:textId="26A2C543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449AF23F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4C407E" w14:textId="77777777" w:rsidR="00F112C7" w:rsidRPr="00DF52F7" w:rsidRDefault="00F112C7" w:rsidP="00AB524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237</w:t>
            </w:r>
          </w:p>
          <w:p w14:paraId="1352E0F1" w14:textId="77777777" w:rsidR="00F112C7" w:rsidRPr="00DF52F7" w:rsidRDefault="00F112C7" w:rsidP="00AB524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208</w:t>
            </w:r>
          </w:p>
          <w:p w14:paraId="6D8C35BF" w14:textId="77777777" w:rsidR="00F112C7" w:rsidRPr="00DF52F7" w:rsidRDefault="00F112C7" w:rsidP="00AB524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III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155</w:t>
            </w:r>
          </w:p>
          <w:p w14:paraId="36F6C311" w14:textId="77777777" w:rsidR="00890FBD" w:rsidRPr="00DF52F7" w:rsidRDefault="00F112C7" w:rsidP="00AB5246">
            <w:pPr>
              <w:tabs>
                <w:tab w:val="left" w:pos="-57"/>
                <w:tab w:val="left" w:pos="5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 </w:t>
            </w:r>
            <w:r w:rsidR="00823BD0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</w:t>
            </w:r>
            <w:r w:rsidR="00823BD0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</w:t>
            </w:r>
          </w:p>
          <w:p w14:paraId="33A6458F" w14:textId="77777777" w:rsidR="00823BD0" w:rsidRPr="00DF52F7" w:rsidRDefault="00823BD0" w:rsidP="00A70E7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563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40DEF88F" w14:textId="77777777" w:rsidTr="00504201">
        <w:trPr>
          <w:trHeight w:val="644"/>
        </w:trPr>
        <w:tc>
          <w:tcPr>
            <w:tcW w:w="2410" w:type="dxa"/>
            <w:vMerge/>
          </w:tcPr>
          <w:p w14:paraId="2A5F43CC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23B8A308" w14:textId="77777777" w:rsidR="00397C2D" w:rsidRPr="00DF52F7" w:rsidRDefault="000A1DED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Projekto s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utarčių  keitimai bei jų nutraukimas </w:t>
            </w:r>
          </w:p>
        </w:tc>
        <w:tc>
          <w:tcPr>
            <w:tcW w:w="4678" w:type="dxa"/>
          </w:tcPr>
          <w:p w14:paraId="7D532D0A" w14:textId="77777777" w:rsidR="00732302" w:rsidRPr="00DF52F7" w:rsidRDefault="00F112C7" w:rsidP="00AB5246">
            <w:pPr>
              <w:tabs>
                <w:tab w:val="left" w:pos="0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Sutarčių esminių keitimų trukmė – iki 30 dienų</w:t>
            </w:r>
            <w:r w:rsidR="00977D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;</w:t>
            </w:r>
          </w:p>
          <w:p w14:paraId="7AF3CF3E" w14:textId="77777777" w:rsidR="00F112C7" w:rsidRPr="00DF52F7" w:rsidRDefault="00F112C7" w:rsidP="00AB5246">
            <w:pPr>
              <w:tabs>
                <w:tab w:val="left" w:pos="0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neesminių keitimų  trukmė – iki 15 dienų</w:t>
            </w:r>
            <w:r w:rsidR="00977D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134" w:type="dxa"/>
          </w:tcPr>
          <w:p w14:paraId="76626C0A" w14:textId="4D767541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38D7B8D7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DAD7A9" w14:textId="77777777" w:rsidR="00F112C7" w:rsidRPr="00DF52F7" w:rsidRDefault="00F112C7" w:rsidP="00DF5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05A24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3DC382B9" w14:textId="77777777" w:rsidTr="00504201">
        <w:trPr>
          <w:trHeight w:val="1095"/>
        </w:trPr>
        <w:tc>
          <w:tcPr>
            <w:tcW w:w="2410" w:type="dxa"/>
            <w:vMerge/>
          </w:tcPr>
          <w:p w14:paraId="44F26BDA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2320653C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Pirkimo dokumentų ir procedūrų tikrinimas </w:t>
            </w:r>
          </w:p>
        </w:tc>
        <w:tc>
          <w:tcPr>
            <w:tcW w:w="4678" w:type="dxa"/>
          </w:tcPr>
          <w:p w14:paraId="2CD87CE0" w14:textId="77777777" w:rsidR="00F112C7" w:rsidRPr="00DF52F7" w:rsidRDefault="00F112C7" w:rsidP="00AB5246">
            <w:pPr>
              <w:numPr>
                <w:ilvl w:val="0"/>
                <w:numId w:val="11"/>
              </w:numPr>
              <w:tabs>
                <w:tab w:val="left" w:pos="0"/>
                <w:tab w:val="left" w:pos="176"/>
                <w:tab w:val="left" w:pos="426"/>
                <w:tab w:val="left" w:pos="459"/>
                <w:tab w:val="left" w:pos="71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PO pirkimo dokumentų vidutinė tikrinimo trukmė –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iki </w:t>
            </w:r>
            <w:r w:rsidR="00C8057F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30 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dienų</w:t>
            </w:r>
          </w:p>
          <w:p w14:paraId="083B5B32" w14:textId="77777777" w:rsidR="00397C2D" w:rsidRPr="00DF52F7" w:rsidRDefault="005B08F6" w:rsidP="00C8057F">
            <w:pPr>
              <w:numPr>
                <w:ilvl w:val="0"/>
                <w:numId w:val="11"/>
              </w:numPr>
              <w:tabs>
                <w:tab w:val="left" w:pos="0"/>
                <w:tab w:val="left" w:pos="176"/>
                <w:tab w:val="left" w:pos="426"/>
                <w:tab w:val="left" w:pos="459"/>
                <w:tab w:val="left" w:pos="71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NPO pirkimo dokumentų vidutinė tikrinimo trukmė – iki  </w:t>
            </w:r>
            <w:r w:rsidR="00C8057F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23  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dienų</w:t>
            </w:r>
          </w:p>
          <w:p w14:paraId="68263B05" w14:textId="77777777" w:rsidR="00AB4911" w:rsidRPr="00DF52F7" w:rsidRDefault="00AB4911" w:rsidP="00C8057F">
            <w:pPr>
              <w:numPr>
                <w:ilvl w:val="0"/>
                <w:numId w:val="11"/>
              </w:numPr>
              <w:tabs>
                <w:tab w:val="left" w:pos="0"/>
                <w:tab w:val="left" w:pos="176"/>
                <w:tab w:val="left" w:pos="426"/>
                <w:tab w:val="left" w:pos="459"/>
                <w:tab w:val="left" w:pos="711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1DB30EF4" w14:textId="547D1741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79515BD6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3D1F99" w14:textId="77777777" w:rsidR="00F112C7" w:rsidRPr="00DF52F7" w:rsidRDefault="00F12E86" w:rsidP="00DF5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1F7FD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31AAB55A" w14:textId="77777777" w:rsidTr="00504201">
        <w:trPr>
          <w:trHeight w:val="2150"/>
        </w:trPr>
        <w:tc>
          <w:tcPr>
            <w:tcW w:w="2410" w:type="dxa"/>
            <w:vMerge/>
          </w:tcPr>
          <w:p w14:paraId="107AB692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4EBABDD4" w14:textId="77777777" w:rsidR="00F112C7" w:rsidRPr="00DF52F7" w:rsidRDefault="00FA37F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MP 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priėmimas ir patikrinimas bei paraiškų asignavimų valdytojui rengimas ir teikimas</w:t>
            </w:r>
          </w:p>
        </w:tc>
        <w:tc>
          <w:tcPr>
            <w:tcW w:w="4678" w:type="dxa"/>
          </w:tcPr>
          <w:p w14:paraId="6D115018" w14:textId="775CAD5F" w:rsidR="00F112C7" w:rsidRPr="00DF52F7" w:rsidRDefault="00F112C7" w:rsidP="00AB5246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  Patikrintų MP skaičius –</w:t>
            </w:r>
            <w:r w:rsidR="00B323D9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3626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  <w:p w14:paraId="4C3AA001" w14:textId="77777777" w:rsidR="00732302" w:rsidRPr="00DF52F7" w:rsidRDefault="00732302" w:rsidP="00AB5246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 w:hanging="610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001926CD" w14:textId="77777777" w:rsidR="00C67028" w:rsidRPr="00DF52F7" w:rsidRDefault="00C67028" w:rsidP="00AB5246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 w:hanging="610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5FF2312E" w14:textId="77777777" w:rsidR="00A964D9" w:rsidRPr="00DF52F7" w:rsidRDefault="00A964D9" w:rsidP="00AB5246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 w:hanging="610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6955A014" w14:textId="397403A8" w:rsidR="00AA502E" w:rsidRPr="00DF52F7" w:rsidRDefault="00F12E86" w:rsidP="006769CD">
            <w:pPr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 w:hanging="610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2. Paraiškų asignavimų valdytojui skaičius  –</w:t>
            </w:r>
            <w:r w:rsidR="00B323D9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2552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 </w:t>
            </w:r>
          </w:p>
          <w:p w14:paraId="14EB1C19" w14:textId="77777777" w:rsidR="00AA502E" w:rsidRPr="00DF52F7" w:rsidRDefault="00AA502E" w:rsidP="00AB5246">
            <w:p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1AA1B616" w14:textId="77777777" w:rsidR="00C22A40" w:rsidRPr="00DF52F7" w:rsidRDefault="00C22A40" w:rsidP="00AB5246">
            <w:p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48D33D03" w14:textId="77777777" w:rsidR="00AA502E" w:rsidRPr="00DF52F7" w:rsidRDefault="00AA502E" w:rsidP="00AB5246">
            <w:pPr>
              <w:tabs>
                <w:tab w:val="left" w:pos="0"/>
                <w:tab w:val="left" w:pos="34"/>
                <w:tab w:val="left" w:pos="317"/>
                <w:tab w:val="left" w:pos="381"/>
                <w:tab w:val="left" w:pos="459"/>
                <w:tab w:val="left" w:pos="87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6AD87FD1" w14:textId="5DF1EDE1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0EAC6C11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  <w:p w14:paraId="07BA7476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MPVS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1293C2" w14:textId="77777777" w:rsidR="00732302" w:rsidRPr="00DF52F7" w:rsidRDefault="00732302" w:rsidP="00AB5246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522</w:t>
            </w:r>
          </w:p>
          <w:p w14:paraId="3EBB387E" w14:textId="77777777" w:rsidR="00732302" w:rsidRPr="00DF52F7" w:rsidRDefault="00732302" w:rsidP="00AB5246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1103</w:t>
            </w:r>
          </w:p>
          <w:p w14:paraId="2F730A66" w14:textId="77777777" w:rsidR="00732302" w:rsidRPr="00DF52F7" w:rsidRDefault="00732302" w:rsidP="00AB5246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III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1008</w:t>
            </w:r>
          </w:p>
          <w:p w14:paraId="6B62AF9D" w14:textId="77777777" w:rsidR="00732302" w:rsidRPr="00DF52F7" w:rsidRDefault="00732302" w:rsidP="00AB5246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993</w:t>
            </w:r>
          </w:p>
          <w:p w14:paraId="43F7FB98" w14:textId="77777777" w:rsidR="00F112C7" w:rsidRPr="00DF52F7" w:rsidRDefault="00FB6D39" w:rsidP="00AB5246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2.  I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214C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383</w:t>
            </w:r>
          </w:p>
          <w:p w14:paraId="1B7BBCE1" w14:textId="77777777" w:rsidR="00F112C7" w:rsidRPr="00DF52F7" w:rsidRDefault="00F112C7" w:rsidP="00AB5246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FB6D39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771</w:t>
            </w:r>
          </w:p>
          <w:p w14:paraId="7509C23A" w14:textId="77777777" w:rsidR="00F112C7" w:rsidRPr="00DF52F7" w:rsidRDefault="00F112C7" w:rsidP="00AB5246">
            <w:pPr>
              <w:tabs>
                <w:tab w:val="left" w:pos="0"/>
                <w:tab w:val="left" w:pos="34"/>
                <w:tab w:val="left" w:pos="381"/>
                <w:tab w:val="left" w:pos="459"/>
                <w:tab w:val="left" w:pos="601"/>
                <w:tab w:val="left" w:pos="743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III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FB6D39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704</w:t>
            </w:r>
          </w:p>
          <w:p w14:paraId="126D17A5" w14:textId="77777777" w:rsidR="00AA502E" w:rsidRPr="00DF52F7" w:rsidRDefault="00F112C7" w:rsidP="00DF5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FB6D39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694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0D00E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74678340" w14:textId="77777777" w:rsidTr="00504201">
        <w:tc>
          <w:tcPr>
            <w:tcW w:w="2410" w:type="dxa"/>
            <w:vMerge/>
          </w:tcPr>
          <w:p w14:paraId="7CFC18BB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6E4DB25F" w14:textId="77777777" w:rsidR="00F112C7" w:rsidRPr="00DF52F7" w:rsidRDefault="000A1DED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Projekto p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atikrų vietoje vykdymas  (2014–2020 m.)</w:t>
            </w:r>
          </w:p>
        </w:tc>
        <w:tc>
          <w:tcPr>
            <w:tcW w:w="4678" w:type="dxa"/>
          </w:tcPr>
          <w:p w14:paraId="35C0CAD7" w14:textId="32BD1E79" w:rsidR="00F112C7" w:rsidRPr="00DF52F7" w:rsidRDefault="00F112C7" w:rsidP="00AB5246">
            <w:pPr>
              <w:tabs>
                <w:tab w:val="left" w:pos="0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Patikrų vietoje skaičius –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348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  <w:p w14:paraId="40327C56" w14:textId="77777777" w:rsidR="00F112C7" w:rsidRPr="00DF52F7" w:rsidRDefault="00F112C7" w:rsidP="00AB5246">
            <w:pPr>
              <w:tabs>
                <w:tab w:val="left" w:pos="0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6BD8CE19" w14:textId="253FC5B4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776793A2" w14:textId="1A9052A0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B97A61C" w14:textId="77777777" w:rsidR="00A70E76" w:rsidRPr="00DF52F7" w:rsidRDefault="00A70E76" w:rsidP="00A70E7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41</w:t>
            </w:r>
          </w:p>
          <w:p w14:paraId="63CC6E8A" w14:textId="77777777" w:rsidR="00A70E76" w:rsidRPr="00DF52F7" w:rsidRDefault="00A70E76" w:rsidP="00A70E7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 – 116</w:t>
            </w:r>
          </w:p>
          <w:p w14:paraId="34B99354" w14:textId="77777777" w:rsidR="00A70E76" w:rsidRPr="00DF52F7" w:rsidRDefault="00A70E76" w:rsidP="00A70E7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III – 81</w:t>
            </w:r>
          </w:p>
          <w:p w14:paraId="4E55C645" w14:textId="77777777" w:rsidR="00493099" w:rsidRPr="00DF52F7" w:rsidRDefault="00A70E76" w:rsidP="00A70E7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 – 110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42D37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6E25C85A" w14:textId="77777777" w:rsidTr="00504201">
        <w:trPr>
          <w:trHeight w:val="1201"/>
        </w:trPr>
        <w:tc>
          <w:tcPr>
            <w:tcW w:w="2410" w:type="dxa"/>
            <w:vMerge/>
          </w:tcPr>
          <w:p w14:paraId="42231A26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57AEECDC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Planinių ir neplanuotų</w:t>
            </w:r>
            <w:r w:rsidR="000A1DED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projekto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patikrų vietoje vykdymas  (2007–2013 m.) (poprojektinė priežiūra)</w:t>
            </w:r>
          </w:p>
        </w:tc>
        <w:tc>
          <w:tcPr>
            <w:tcW w:w="4678" w:type="dxa"/>
          </w:tcPr>
          <w:p w14:paraId="6CC19194" w14:textId="1C46C4A7" w:rsidR="00F112C7" w:rsidRPr="00DF52F7" w:rsidRDefault="00F112C7" w:rsidP="00AB5246">
            <w:pPr>
              <w:tabs>
                <w:tab w:val="left" w:pos="0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Patikrų vietoje skaičius –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134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  <w:p w14:paraId="58FADCEA" w14:textId="77777777" w:rsidR="00F112C7" w:rsidRPr="00DF52F7" w:rsidRDefault="00F112C7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2AF9EA7B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50A5329F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93D19B" w14:textId="77777777" w:rsidR="00027F1F" w:rsidRPr="00DF52F7" w:rsidRDefault="00027F1F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55</w:t>
            </w:r>
          </w:p>
          <w:p w14:paraId="7DDD0AF6" w14:textId="77777777" w:rsidR="00F112C7" w:rsidRPr="00DF52F7" w:rsidRDefault="00F112C7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–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19</w:t>
            </w:r>
          </w:p>
          <w:p w14:paraId="23FA6FB0" w14:textId="77777777" w:rsidR="00F112C7" w:rsidRPr="00DF52F7" w:rsidRDefault="00F112C7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III –</w:t>
            </w:r>
            <w:r w:rsidR="00CD2CEF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25</w:t>
            </w:r>
          </w:p>
          <w:p w14:paraId="599B7134" w14:textId="77777777" w:rsidR="00CD2CEF" w:rsidRPr="00DF52F7" w:rsidRDefault="00F112C7" w:rsidP="00A70E7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 –</w:t>
            </w:r>
            <w:r w:rsidR="00CD2CEF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AF8F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3787BC01" w14:textId="77777777" w:rsidTr="00504201">
        <w:tc>
          <w:tcPr>
            <w:tcW w:w="2410" w:type="dxa"/>
            <w:vMerge/>
          </w:tcPr>
          <w:p w14:paraId="3A8428DF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7B20B65E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Apsilankymų </w:t>
            </w:r>
            <w:r w:rsidR="00976789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planuojamoje projekto </w:t>
            </w:r>
            <w:r w:rsidR="00732302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į</w:t>
            </w:r>
            <w:r w:rsidR="00976789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gyvendinimo vietoje arba pas parei</w:t>
            </w:r>
            <w:r w:rsidR="00732302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škėją 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vykdymas (2014–2020 m.)</w:t>
            </w:r>
          </w:p>
        </w:tc>
        <w:tc>
          <w:tcPr>
            <w:tcW w:w="4678" w:type="dxa"/>
          </w:tcPr>
          <w:p w14:paraId="31013FAB" w14:textId="61F2F316" w:rsidR="00F112C7" w:rsidRPr="00DF52F7" w:rsidRDefault="00F112C7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Apsilankymų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vietoje skaičius –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35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  <w:p w14:paraId="17F43EFE" w14:textId="77777777" w:rsidR="00F112C7" w:rsidRPr="00DF52F7" w:rsidRDefault="00F112C7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10214EC6" w14:textId="2DBE7B80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VPID</w:t>
            </w:r>
          </w:p>
          <w:p w14:paraId="68D7B3C1" w14:textId="7F9499E3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EVPD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617EB4D" w14:textId="77777777" w:rsidR="00F112C7" w:rsidRPr="00DF52F7" w:rsidRDefault="00F112C7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  –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CD2CEF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</w:t>
            </w:r>
          </w:p>
          <w:p w14:paraId="4EAAA9EF" w14:textId="77777777" w:rsidR="00F112C7" w:rsidRPr="00DF52F7" w:rsidRDefault="00F112C7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II –</w:t>
            </w:r>
            <w:r w:rsidR="00CD2CEF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13</w:t>
            </w:r>
          </w:p>
          <w:p w14:paraId="0446222D" w14:textId="77777777" w:rsidR="00027F1F" w:rsidRPr="00DF52F7" w:rsidRDefault="00F112C7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 – </w:t>
            </w:r>
            <w:r w:rsidR="00A70E7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16</w:t>
            </w:r>
          </w:p>
          <w:p w14:paraId="1199BE7D" w14:textId="77777777" w:rsidR="00027F1F" w:rsidRPr="00DF52F7" w:rsidRDefault="00F112C7" w:rsidP="00A70E76">
            <w:pPr>
              <w:tabs>
                <w:tab w:val="left" w:pos="-57"/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 –</w:t>
            </w:r>
            <w:r w:rsidR="00CD2CEF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D8658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19122DC2" w14:textId="77777777" w:rsidTr="00504201">
        <w:tc>
          <w:tcPr>
            <w:tcW w:w="2410" w:type="dxa"/>
            <w:vMerge/>
          </w:tcPr>
          <w:p w14:paraId="6D444AA0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6FEFDB47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Ekspertinių išvadų teikimas vertinimo ir administravimo metu (2014–2020 m.)</w:t>
            </w:r>
          </w:p>
        </w:tc>
        <w:tc>
          <w:tcPr>
            <w:tcW w:w="4678" w:type="dxa"/>
          </w:tcPr>
          <w:p w14:paraId="5FBC1612" w14:textId="77777777" w:rsidR="00F112C7" w:rsidRPr="00DF52F7" w:rsidRDefault="00F112C7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1. Ekspertinės išvados pateikimo vidutinė trukmė (išskyrus MT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EPI projektus) – iki </w:t>
            </w:r>
            <w:r w:rsidR="004604A5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10 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dienų</w:t>
            </w:r>
            <w:r w:rsidR="00F44A8F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  <w:p w14:paraId="4DA7A44E" w14:textId="77777777" w:rsidR="00B77050" w:rsidRPr="00DF52F7" w:rsidRDefault="005B08F6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2. MTEPI srities projektu ekspertinės išvados pateikimo vidutinė trukmė – iki </w:t>
            </w:r>
            <w:r w:rsidR="004847C5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30 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dienų</w:t>
            </w:r>
            <w:r w:rsidR="000B76A9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  <w:tc>
          <w:tcPr>
            <w:tcW w:w="1134" w:type="dxa"/>
          </w:tcPr>
          <w:p w14:paraId="3357102A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PES</w:t>
            </w:r>
          </w:p>
          <w:p w14:paraId="2E13EE34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A61DA7" w14:textId="77777777" w:rsidR="00F112C7" w:rsidRPr="00DF52F7" w:rsidRDefault="00F12E86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  <w:p w14:paraId="78CC648F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543ABA6F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1128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27A67C1F" w14:textId="77777777" w:rsidTr="00504201">
        <w:trPr>
          <w:trHeight w:val="419"/>
        </w:trPr>
        <w:tc>
          <w:tcPr>
            <w:tcW w:w="2410" w:type="dxa"/>
            <w:vMerge/>
          </w:tcPr>
          <w:p w14:paraId="697239A0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5E199A45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Pažeidimų tyrimas ir valdymas</w:t>
            </w:r>
          </w:p>
          <w:p w14:paraId="17403F88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4678" w:type="dxa"/>
          </w:tcPr>
          <w:p w14:paraId="16D1FE8E" w14:textId="77777777" w:rsidR="00B77050" w:rsidRPr="00DF52F7" w:rsidRDefault="00F112C7" w:rsidP="00AB5246">
            <w:pPr>
              <w:tabs>
                <w:tab w:val="left" w:pos="0"/>
                <w:tab w:val="left" w:pos="459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Vidutinė tyrimo trukmė – iki 30  dienų </w:t>
            </w:r>
          </w:p>
        </w:tc>
        <w:tc>
          <w:tcPr>
            <w:tcW w:w="1134" w:type="dxa"/>
          </w:tcPr>
          <w:p w14:paraId="111F3F44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RKVS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CAD796" w14:textId="77777777" w:rsidR="00F112C7" w:rsidRPr="00DF52F7" w:rsidRDefault="00DF52F7" w:rsidP="00DF5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</w:t>
            </w:r>
            <w:r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D850F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3CF67F2D" w14:textId="77777777" w:rsidTr="00504201">
        <w:trPr>
          <w:trHeight w:val="883"/>
        </w:trPr>
        <w:tc>
          <w:tcPr>
            <w:tcW w:w="2410" w:type="dxa"/>
            <w:vMerge/>
          </w:tcPr>
          <w:p w14:paraId="38F48BC7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18A314F5" w14:textId="77777777" w:rsidR="00F112C7" w:rsidRPr="00DF52F7" w:rsidRDefault="00444204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LVPA 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Antikorupcinės programos įgyvendinimas </w:t>
            </w:r>
          </w:p>
        </w:tc>
        <w:tc>
          <w:tcPr>
            <w:tcW w:w="4678" w:type="dxa"/>
          </w:tcPr>
          <w:p w14:paraId="4367AF4E" w14:textId="77777777" w:rsidR="00296F5B" w:rsidRPr="00DF52F7" w:rsidRDefault="00444204" w:rsidP="00901B67">
            <w:pPr>
              <w:tabs>
                <w:tab w:val="left" w:pos="0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LVPA 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Antikorupcinės programos įgyvendinimo 201</w:t>
            </w:r>
            <w:r w:rsidR="0030734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201</w:t>
            </w:r>
            <w:r w:rsidR="0030734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9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 priemonių plane 201</w:t>
            </w:r>
            <w:r w:rsidR="0030734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m. numatytų priemonių</w:t>
            </w:r>
            <w:r w:rsidR="00C75129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, įskaitant numatytas administracinės naštos mažinimo priemones,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įvykdymas – 100</w:t>
            </w:r>
            <w:r w:rsidR="00901B6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proc.</w:t>
            </w:r>
          </w:p>
        </w:tc>
        <w:tc>
          <w:tcPr>
            <w:tcW w:w="1134" w:type="dxa"/>
          </w:tcPr>
          <w:p w14:paraId="7BBD14EE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RKVS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FD8E73F" w14:textId="77777777" w:rsidR="00F112C7" w:rsidRPr="00DF52F7" w:rsidRDefault="00DF52F7" w:rsidP="00DF52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</w:t>
            </w:r>
            <w:r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2E3B" w14:textId="77777777" w:rsidR="009C01D1" w:rsidRPr="00DF52F7" w:rsidRDefault="009C01D1" w:rsidP="00901B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1152A67E" w14:textId="77777777" w:rsidTr="00504201">
        <w:trPr>
          <w:trHeight w:val="131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779B0D8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8243F4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Darbuotojų mokymų organizavimas ir kvalifikacijos kėlimas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A75E0A7" w14:textId="77777777" w:rsidR="00F112C7" w:rsidRPr="00DF52F7" w:rsidRDefault="00F112C7" w:rsidP="00F12E86">
            <w:pPr>
              <w:numPr>
                <w:ilvl w:val="3"/>
                <w:numId w:val="11"/>
              </w:numPr>
              <w:tabs>
                <w:tab w:val="left" w:pos="0"/>
                <w:tab w:val="left" w:pos="317"/>
              </w:tabs>
              <w:spacing w:after="0" w:line="240" w:lineRule="auto"/>
              <w:ind w:left="459" w:hanging="45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Mokymo temų skaičius –</w:t>
            </w:r>
            <w:r w:rsidR="007D6CAB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90 </w:t>
            </w:r>
            <w:r w:rsidR="005B08F6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vnt.</w:t>
            </w:r>
          </w:p>
          <w:p w14:paraId="673827A1" w14:textId="77777777" w:rsidR="00F112C7" w:rsidRPr="00DF52F7" w:rsidRDefault="00F112C7" w:rsidP="00AB5246">
            <w:pPr>
              <w:tabs>
                <w:tab w:val="left" w:pos="0"/>
                <w:tab w:val="left" w:pos="459"/>
              </w:tabs>
              <w:spacing w:after="0" w:line="240" w:lineRule="auto"/>
              <w:ind w:left="2696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705537D5" w14:textId="77777777" w:rsidR="007D6CAB" w:rsidRPr="00DF52F7" w:rsidRDefault="005B08F6" w:rsidP="00F12E86">
            <w:pPr>
              <w:tabs>
                <w:tab w:val="left" w:pos="0"/>
              </w:tabs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F12E86" w:rsidRPr="00DF52F7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</w:t>
            </w:r>
            <w:r w:rsidR="007D6CAB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2. Mokymuose dalyvavusių LVPA darbuotojų skaičius</w:t>
            </w:r>
            <w:r w:rsidR="00901B6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– ne mažiau </w:t>
            </w:r>
            <w:r w:rsidR="00901B67" w:rsidRPr="0031367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kaip 80 proc.</w:t>
            </w:r>
            <w:r w:rsidR="007D6CAB" w:rsidRPr="00313671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,</w:t>
            </w:r>
            <w:r w:rsidR="007D6CAB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  <w:p w14:paraId="104BD93F" w14:textId="77777777" w:rsidR="00BB550B" w:rsidRPr="00DF52F7" w:rsidRDefault="007D6CAB" w:rsidP="00901B67">
            <w:pPr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iš jų naujų darbuotojų –</w:t>
            </w:r>
            <w:r w:rsidR="00901B6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100 proc.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DA0AE5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FE0D831" w14:textId="77777777" w:rsidR="00F112C7" w:rsidRPr="00DF52F7" w:rsidRDefault="00F112C7" w:rsidP="00901B67">
            <w:pPr>
              <w:tabs>
                <w:tab w:val="left" w:pos="0"/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1. </w:t>
            </w:r>
            <w:r w:rsidR="00901B67"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I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901B67"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IV</w:t>
            </w:r>
          </w:p>
          <w:p w14:paraId="1FD2CA50" w14:textId="77777777" w:rsidR="00684F4E" w:rsidRPr="00DF52F7" w:rsidRDefault="00684F4E" w:rsidP="00AB5246">
            <w:pPr>
              <w:tabs>
                <w:tab w:val="left" w:pos="0"/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74A811F0" w14:textId="77777777" w:rsidR="00684F4E" w:rsidRPr="00DF52F7" w:rsidRDefault="00684F4E" w:rsidP="00AB5246">
            <w:pPr>
              <w:tabs>
                <w:tab w:val="left" w:pos="0"/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6EC50AD6" w14:textId="77777777" w:rsidR="00F112C7" w:rsidRPr="00DF52F7" w:rsidRDefault="00684F4E" w:rsidP="00DF52F7">
            <w:pPr>
              <w:tabs>
                <w:tab w:val="left" w:pos="0"/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 I</w:t>
            </w:r>
            <w:r w:rsidR="00F112C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–</w:t>
            </w:r>
            <w:r w:rsidR="00901B6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3DAE41" w14:textId="77777777" w:rsidR="00F112C7" w:rsidRPr="00DF52F7" w:rsidRDefault="00F112C7" w:rsidP="00AB524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31C6BC99" w14:textId="77777777" w:rsidTr="00504201">
        <w:trPr>
          <w:trHeight w:val="690"/>
        </w:trPr>
        <w:tc>
          <w:tcPr>
            <w:tcW w:w="2410" w:type="dxa"/>
            <w:vMerge w:val="restart"/>
          </w:tcPr>
          <w:p w14:paraId="2AC9F010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03-02-02 priemonė</w:t>
            </w:r>
          </w:p>
          <w:p w14:paraId="200B69CF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„</w:t>
            </w:r>
            <w:r w:rsidR="00595CCF" w:rsidRPr="00DF52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lt-LT"/>
              </w:rPr>
              <w:t>Viešinti viešosios įstaigos Lietuvos verslo paramos agentūros administruojamas ES fondų investicijas</w:t>
            </w:r>
            <w:r w:rsidRPr="00DF52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t-LT"/>
              </w:rPr>
              <w:t>“</w:t>
            </w:r>
          </w:p>
          <w:p w14:paraId="70E6F56D" w14:textId="77777777" w:rsidR="00F112C7" w:rsidRPr="00DF52F7" w:rsidDel="00E047C2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67623E85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ES struktūrinių fondų paramos viešinimas LVPA tikslinėms grupėms</w:t>
            </w:r>
          </w:p>
        </w:tc>
        <w:tc>
          <w:tcPr>
            <w:tcW w:w="4678" w:type="dxa"/>
          </w:tcPr>
          <w:p w14:paraId="3F05721F" w14:textId="77777777" w:rsidR="00F112C7" w:rsidRPr="00DF52F7" w:rsidRDefault="00F112C7" w:rsidP="00AB5246">
            <w:pPr>
              <w:numPr>
                <w:ilvl w:val="0"/>
                <w:numId w:val="7"/>
              </w:numPr>
              <w:tabs>
                <w:tab w:val="left" w:pos="237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1. Mokomųjų renginių ir seminarų skaičius –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917F4E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="00652F7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0</w:t>
            </w:r>
            <w:r w:rsidR="00917F4E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vnt. </w:t>
            </w:r>
          </w:p>
          <w:p w14:paraId="4EF7E820" w14:textId="77777777" w:rsidR="00F112C7" w:rsidRPr="00DF52F7" w:rsidRDefault="00F112C7" w:rsidP="00AB5246">
            <w:pPr>
              <w:tabs>
                <w:tab w:val="left" w:pos="237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1790FDCD" w14:textId="77777777" w:rsidR="00F112C7" w:rsidRPr="00DF52F7" w:rsidRDefault="00F112C7" w:rsidP="00AB5246">
            <w:pPr>
              <w:tabs>
                <w:tab w:val="left" w:pos="237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306563B6" w14:textId="77777777" w:rsidR="00F112C7" w:rsidRPr="00DF52F7" w:rsidRDefault="00F112C7" w:rsidP="00AB5246">
            <w:pPr>
              <w:tabs>
                <w:tab w:val="left" w:pos="237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3CAF0679" w14:textId="77777777" w:rsidR="00F112C7" w:rsidRPr="00DF52F7" w:rsidRDefault="00F112C7" w:rsidP="00504ABD">
            <w:pPr>
              <w:numPr>
                <w:ilvl w:val="0"/>
                <w:numId w:val="7"/>
              </w:numPr>
              <w:tabs>
                <w:tab w:val="left" w:pos="237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2. </w:t>
            </w:r>
            <w:r w:rsidR="00C22A40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Tęstinių ES struktūrinių fondų </w:t>
            </w:r>
            <w:r w:rsidR="00504ABD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investicijų </w:t>
            </w:r>
            <w:r w:rsidR="00C22A40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viešinimo kampanijų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skaičius –</w:t>
            </w:r>
            <w:r w:rsidR="009806E5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6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  <w:p w14:paraId="21982321" w14:textId="77777777" w:rsidR="00684F4E" w:rsidRPr="00DF52F7" w:rsidRDefault="00684F4E" w:rsidP="00504ABD">
            <w:pPr>
              <w:numPr>
                <w:ilvl w:val="0"/>
                <w:numId w:val="7"/>
              </w:numPr>
              <w:tabs>
                <w:tab w:val="left" w:pos="237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6488744A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1E229C6" w14:textId="77777777" w:rsidR="00F112C7" w:rsidRPr="00DF52F7" w:rsidRDefault="00F112C7" w:rsidP="00AB5246">
            <w:pPr>
              <w:tabs>
                <w:tab w:val="left" w:pos="2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1. I</w:t>
            </w:r>
            <w:r w:rsidR="00DF52F7"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5C0A17"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5</w:t>
            </w:r>
          </w:p>
          <w:p w14:paraId="3C698A8A" w14:textId="77777777" w:rsidR="00F112C7" w:rsidRPr="00DF52F7" w:rsidRDefault="00F112C7" w:rsidP="00AB5246">
            <w:pPr>
              <w:spacing w:after="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II</w:t>
            </w:r>
            <w:r w:rsidR="00DF52F7"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652F7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5</w:t>
            </w:r>
          </w:p>
          <w:p w14:paraId="37F4A268" w14:textId="77777777" w:rsidR="00F112C7" w:rsidRPr="00DF52F7" w:rsidRDefault="00F112C7" w:rsidP="00AB5246">
            <w:pPr>
              <w:spacing w:after="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III</w:t>
            </w:r>
            <w:r w:rsidR="00DF52F7"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652F7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5</w:t>
            </w:r>
          </w:p>
          <w:p w14:paraId="3F073431" w14:textId="77777777" w:rsidR="00F112C7" w:rsidRPr="00DF52F7" w:rsidRDefault="00F112C7" w:rsidP="00AB5246">
            <w:pPr>
              <w:spacing w:after="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IV</w:t>
            </w:r>
            <w:r w:rsidR="00DF52F7"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 </w:t>
            </w:r>
            <w:r w:rsidR="00652F7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5</w:t>
            </w:r>
          </w:p>
          <w:p w14:paraId="126A0F6D" w14:textId="77777777" w:rsidR="00684F4E" w:rsidRPr="00DF52F7" w:rsidRDefault="00684F4E" w:rsidP="00AB5246">
            <w:pPr>
              <w:spacing w:after="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</w:p>
          <w:p w14:paraId="09DE70FD" w14:textId="77777777" w:rsidR="00C22A40" w:rsidRPr="00DF52F7" w:rsidRDefault="00F112C7" w:rsidP="00AB5246">
            <w:pPr>
              <w:spacing w:after="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 xml:space="preserve">2. </w:t>
            </w:r>
            <w:r w:rsidR="00C22A40"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I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5C0A17" w:rsidRPr="00DF52F7"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  <w:t>IV</w:t>
            </w:r>
          </w:p>
          <w:p w14:paraId="35A149B7" w14:textId="77777777" w:rsidR="00F112C7" w:rsidRPr="00DF52F7" w:rsidRDefault="00F112C7" w:rsidP="00AB5246">
            <w:pPr>
              <w:spacing w:after="0" w:line="240" w:lineRule="auto"/>
              <w:rPr>
                <w:rFonts w:ascii="Times New Roman" w:hAnsi="Times New Roman" w:cs="Times New Roman"/>
                <w:caps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5C6FA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14</w:t>
            </w:r>
            <w:r w:rsidR="005F3CD4"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0</w:t>
            </w: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000,0</w:t>
            </w:r>
          </w:p>
          <w:p w14:paraId="17FF21F7" w14:textId="77777777" w:rsidR="00F112C7" w:rsidRPr="00DF52F7" w:rsidRDefault="00F112C7" w:rsidP="001D44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(</w:t>
            </w:r>
            <w:r w:rsidR="001D4492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119 000,0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–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2014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2020 m. ES techninė parama, </w:t>
            </w:r>
            <w:r w:rsidR="001D4492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21 000,0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– </w:t>
            </w:r>
            <w:r w:rsidR="001D4492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2014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1D4492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2020 m. ES techninės paramos bendrojo finansavimo lėšos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)</w:t>
            </w:r>
          </w:p>
        </w:tc>
      </w:tr>
      <w:tr w:rsidR="00F112C7" w:rsidRPr="00DF52F7" w14:paraId="68C17CDE" w14:textId="77777777" w:rsidTr="00504201">
        <w:trPr>
          <w:trHeight w:val="660"/>
        </w:trPr>
        <w:tc>
          <w:tcPr>
            <w:tcW w:w="2410" w:type="dxa"/>
            <w:vMerge/>
          </w:tcPr>
          <w:p w14:paraId="303E1871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</w:tcPr>
          <w:p w14:paraId="593C7F3D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Bendradarbiavimas su žiniasklaida</w:t>
            </w:r>
          </w:p>
        </w:tc>
        <w:tc>
          <w:tcPr>
            <w:tcW w:w="4678" w:type="dxa"/>
          </w:tcPr>
          <w:p w14:paraId="00EA3F59" w14:textId="77777777" w:rsidR="00F112C7" w:rsidRPr="00DF52F7" w:rsidRDefault="00F112C7" w:rsidP="00AB5246">
            <w:pPr>
              <w:numPr>
                <w:ilvl w:val="0"/>
                <w:numId w:val="8"/>
              </w:numPr>
              <w:tabs>
                <w:tab w:val="left" w:pos="233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Pranešimų žiniasklaidoje skaičius  – </w:t>
            </w:r>
            <w:r w:rsidR="00652F7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60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  <w:p w14:paraId="358CFA4C" w14:textId="77777777" w:rsidR="00F112C7" w:rsidRPr="00DF52F7" w:rsidRDefault="00F112C7" w:rsidP="00AB5246">
            <w:pPr>
              <w:tabs>
                <w:tab w:val="left" w:pos="233"/>
                <w:tab w:val="left" w:pos="459"/>
              </w:tabs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7C6AFB97" w14:textId="77777777" w:rsidR="00F112C7" w:rsidRPr="00DF52F7" w:rsidRDefault="00F112C7" w:rsidP="00AB5246">
            <w:pPr>
              <w:tabs>
                <w:tab w:val="left" w:pos="233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2F42CE30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0ECC481" w14:textId="77777777" w:rsidR="00F112C7" w:rsidRPr="00DF52F7" w:rsidRDefault="00F112C7" w:rsidP="00AB52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I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DF49D3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15</w:t>
            </w:r>
          </w:p>
          <w:p w14:paraId="063B6421" w14:textId="77777777" w:rsidR="00F112C7" w:rsidRPr="00DF52F7" w:rsidRDefault="00F112C7" w:rsidP="00AB52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 – </w:t>
            </w:r>
            <w:r w:rsidR="00DF49D3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 w:rsidR="00652F7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</w:t>
            </w:r>
          </w:p>
          <w:p w14:paraId="2F7D029B" w14:textId="77777777" w:rsidR="00F112C7" w:rsidRPr="00DF52F7" w:rsidRDefault="00F112C7" w:rsidP="00AB52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III  – </w:t>
            </w:r>
            <w:r w:rsidR="00DF49D3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 w:rsidR="00652F7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</w:t>
            </w:r>
          </w:p>
          <w:p w14:paraId="69D9CC1F" w14:textId="77777777" w:rsidR="00F112C7" w:rsidRPr="00DF52F7" w:rsidRDefault="00F112C7" w:rsidP="00AB52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IV – </w:t>
            </w:r>
            <w:r w:rsidR="00DF49D3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1</w:t>
            </w:r>
            <w:r w:rsidR="00652F7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5</w:t>
            </w:r>
          </w:p>
          <w:p w14:paraId="6378BCF7" w14:textId="77777777" w:rsidR="00AB4911" w:rsidRPr="00DF52F7" w:rsidRDefault="00AB4911" w:rsidP="00AB52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64BAA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7AAEAFC5" w14:textId="77777777" w:rsidTr="00504201"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1E02EC2" w14:textId="77777777" w:rsidR="00F112C7" w:rsidRPr="00DF52F7" w:rsidRDefault="00F112C7" w:rsidP="00AB5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06EA7B5" w14:textId="77777777" w:rsidR="00F112C7" w:rsidRPr="00DF52F7" w:rsidRDefault="00F112C7" w:rsidP="00AB524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Visuomenės nuomonės tyrimai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024C5C9" w14:textId="77777777" w:rsidR="00F112C7" w:rsidRPr="00DF52F7" w:rsidRDefault="00F112C7" w:rsidP="00AB5246">
            <w:pPr>
              <w:tabs>
                <w:tab w:val="left" w:pos="0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Visuomenės nuomonės tyrimų skaičius – </w:t>
            </w:r>
            <w:r w:rsidR="00267333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vnt.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493BF" w14:textId="77777777" w:rsidR="00F112C7" w:rsidRPr="00DF52F7" w:rsidRDefault="00F112C7" w:rsidP="009975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KS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964FD85" w14:textId="77777777" w:rsidR="00B77050" w:rsidRPr="00DF52F7" w:rsidRDefault="005C0A17" w:rsidP="00AB52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IV</w:t>
            </w:r>
            <w:r w:rsidR="00DF52F7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="00DF52F7" w:rsidRPr="00DF5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– </w:t>
            </w:r>
            <w:r w:rsidR="00917F4E"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2</w:t>
            </w:r>
          </w:p>
          <w:p w14:paraId="325ED054" w14:textId="77777777" w:rsidR="00F12E86" w:rsidRPr="00DF52F7" w:rsidRDefault="00F12E86" w:rsidP="00AB52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  <w:p w14:paraId="7A6AE77A" w14:textId="77777777" w:rsidR="00AB4911" w:rsidRPr="00DF52F7" w:rsidRDefault="00AB4911" w:rsidP="00AB52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FAA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</w:p>
        </w:tc>
      </w:tr>
      <w:tr w:rsidR="00F112C7" w:rsidRPr="00DF52F7" w14:paraId="5E221855" w14:textId="77777777" w:rsidTr="00504201">
        <w:trPr>
          <w:trHeight w:val="1080"/>
        </w:trPr>
        <w:tc>
          <w:tcPr>
            <w:tcW w:w="10915" w:type="dxa"/>
            <w:gridSpan w:val="3"/>
            <w:shd w:val="clear" w:color="auto" w:fill="D9E2F3" w:themeFill="accent5" w:themeFillTint="33"/>
          </w:tcPr>
          <w:p w14:paraId="1A9A11E1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Iš viso numatyta lėšų: </w:t>
            </w:r>
          </w:p>
          <w:p w14:paraId="23AC9B37" w14:textId="77777777" w:rsidR="005F3CD4" w:rsidRPr="00DF52F7" w:rsidRDefault="005F3CD4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  <w:p w14:paraId="2FCB427B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iš jų: </w:t>
            </w:r>
          </w:p>
          <w:p w14:paraId="23C236B0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techninės paramos ES lėšų</w:t>
            </w:r>
          </w:p>
          <w:p w14:paraId="6CB8B4C8" w14:textId="77777777" w:rsidR="001D4492" w:rsidRPr="00DF52F7" w:rsidRDefault="001D4492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  <w:p w14:paraId="04FC5B5D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techninės paramos BF lėšų</w:t>
            </w:r>
          </w:p>
          <w:p w14:paraId="6049B841" w14:textId="77777777" w:rsidR="00F112C7" w:rsidRPr="00DF52F7" w:rsidRDefault="00F112C7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  <w:p w14:paraId="072E7BAB" w14:textId="77777777" w:rsidR="001D4492" w:rsidRPr="00DF52F7" w:rsidRDefault="001D4492" w:rsidP="00AB52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valstybės biudžeto lėšos</w:t>
            </w:r>
          </w:p>
        </w:tc>
        <w:tc>
          <w:tcPr>
            <w:tcW w:w="4820" w:type="dxa"/>
            <w:gridSpan w:val="3"/>
            <w:shd w:val="clear" w:color="auto" w:fill="D9E2F3" w:themeFill="accent5" w:themeFillTint="33"/>
          </w:tcPr>
          <w:p w14:paraId="1D4B11BC" w14:textId="77777777" w:rsidR="00F112C7" w:rsidRPr="00DF52F7" w:rsidRDefault="00F112C7" w:rsidP="00AB52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4 </w:t>
            </w:r>
            <w:r w:rsidR="005F3CD4"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88</w:t>
            </w:r>
            <w:r w:rsidR="001D4492"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9</w:t>
            </w:r>
            <w:r w:rsidRPr="00DF52F7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000,0</w:t>
            </w:r>
          </w:p>
          <w:p w14:paraId="63F41F21" w14:textId="77777777" w:rsidR="00F112C7" w:rsidRPr="00DF52F7" w:rsidRDefault="00F112C7" w:rsidP="00AB52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  <w:p w14:paraId="275B19EB" w14:textId="77777777" w:rsidR="001D4492" w:rsidRPr="00DF52F7" w:rsidRDefault="001D4492" w:rsidP="00AB52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</w:p>
          <w:p w14:paraId="6CFE198B" w14:textId="77777777" w:rsidR="00F112C7" w:rsidRPr="00DF52F7" w:rsidRDefault="001D4492" w:rsidP="001D449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4 152 000,0</w:t>
            </w:r>
          </w:p>
          <w:p w14:paraId="6B26ED25" w14:textId="77777777" w:rsidR="001D4492" w:rsidRPr="00DF52F7" w:rsidRDefault="001D4492" w:rsidP="001D449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733 000,0</w:t>
            </w:r>
          </w:p>
          <w:p w14:paraId="4F6483D3" w14:textId="77777777" w:rsidR="001D4492" w:rsidRPr="00DF52F7" w:rsidRDefault="001D4492" w:rsidP="001D4492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DF52F7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4 000,0</w:t>
            </w:r>
          </w:p>
        </w:tc>
      </w:tr>
    </w:tbl>
    <w:p w14:paraId="5D0C572F" w14:textId="77777777" w:rsidR="00F12E86" w:rsidRDefault="00F12E86" w:rsidP="00AB524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lt-LT" w:eastAsia="lt-LT"/>
        </w:rPr>
      </w:pPr>
    </w:p>
    <w:p w14:paraId="3D798BE7" w14:textId="77777777" w:rsidR="00815937" w:rsidRDefault="00815937" w:rsidP="00AB524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lt-LT" w:eastAsia="lt-LT"/>
        </w:rPr>
      </w:pPr>
    </w:p>
    <w:p w14:paraId="7AF8F0FC" w14:textId="77777777" w:rsidR="00815937" w:rsidRDefault="00815937" w:rsidP="00AB524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lt-LT" w:eastAsia="lt-LT"/>
        </w:rPr>
      </w:pPr>
    </w:p>
    <w:p w14:paraId="3B41EC1B" w14:textId="77777777" w:rsidR="00815937" w:rsidRPr="00DF52F7" w:rsidRDefault="00815937" w:rsidP="00AB524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2"/>
          <w:szCs w:val="22"/>
          <w:lang w:val="lt-LT" w:eastAsia="lt-LT"/>
        </w:rPr>
      </w:pPr>
    </w:p>
    <w:sectPr w:rsidR="00815937" w:rsidRPr="00DF52F7" w:rsidSect="00DF52F7">
      <w:pgSz w:w="16838" w:h="11906" w:orient="landscape"/>
      <w:pgMar w:top="993" w:right="567" w:bottom="567" w:left="56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A678" w14:textId="77777777" w:rsidR="00DC2451" w:rsidRDefault="00DC2451" w:rsidP="00647CFE">
      <w:pPr>
        <w:spacing w:after="0" w:line="240" w:lineRule="auto"/>
      </w:pPr>
      <w:r>
        <w:separator/>
      </w:r>
    </w:p>
  </w:endnote>
  <w:endnote w:type="continuationSeparator" w:id="0">
    <w:p w14:paraId="683B3587" w14:textId="77777777" w:rsidR="00DC2451" w:rsidRDefault="00DC2451" w:rsidP="006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147F" w14:textId="77777777" w:rsidR="00DC2451" w:rsidRDefault="00DC2451" w:rsidP="00647CFE">
      <w:pPr>
        <w:spacing w:after="0" w:line="240" w:lineRule="auto"/>
      </w:pPr>
      <w:r>
        <w:separator/>
      </w:r>
    </w:p>
  </w:footnote>
  <w:footnote w:type="continuationSeparator" w:id="0">
    <w:p w14:paraId="015C18FB" w14:textId="77777777" w:rsidR="00DC2451" w:rsidRDefault="00DC2451" w:rsidP="00647CFE">
      <w:pPr>
        <w:spacing w:after="0" w:line="240" w:lineRule="auto"/>
      </w:pPr>
      <w:r>
        <w:continuationSeparator/>
      </w:r>
    </w:p>
  </w:footnote>
  <w:footnote w:id="1">
    <w:p w14:paraId="0F24AFB8" w14:textId="1BCF749A" w:rsidR="003131BA" w:rsidRPr="00441176" w:rsidRDefault="003131BA" w:rsidP="00DF52F7">
      <w:pPr>
        <w:pStyle w:val="Puslapioinaostekstas"/>
        <w:jc w:val="both"/>
        <w:rPr>
          <w:rFonts w:ascii="Times New Roman" w:hAnsi="Times New Roman" w:cs="Times New Roman"/>
          <w:lang w:val="lt-LT"/>
        </w:rPr>
      </w:pPr>
      <w:r w:rsidRPr="00441176">
        <w:rPr>
          <w:rStyle w:val="Puslapioinaosnuoroda"/>
          <w:rFonts w:ascii="Times New Roman" w:hAnsi="Times New Roman" w:cs="Times New Roman"/>
        </w:rPr>
        <w:footnoteRef/>
      </w:r>
      <w:r w:rsidRPr="00441176">
        <w:rPr>
          <w:rFonts w:ascii="Times New Roman" w:hAnsi="Times New Roman" w:cs="Times New Roman"/>
        </w:rPr>
        <w:t xml:space="preserve"> </w:t>
      </w:r>
      <w:r w:rsidRPr="00441176">
        <w:rPr>
          <w:rFonts w:ascii="Times New Roman" w:hAnsi="Times New Roman" w:cs="Times New Roman"/>
          <w:lang w:val="lt-LT"/>
        </w:rPr>
        <w:t xml:space="preserve">Skaičiavimai atlikti </w:t>
      </w:r>
      <w:r w:rsidRPr="00DF52F7">
        <w:rPr>
          <w:rFonts w:ascii="Times New Roman" w:hAnsi="Times New Roman" w:cs="Times New Roman"/>
          <w:lang w:val="lt-LT"/>
        </w:rPr>
        <w:t>pagal Ūkio ministerijos</w:t>
      </w:r>
      <w:r w:rsidRPr="00441176">
        <w:rPr>
          <w:rFonts w:ascii="Times New Roman" w:hAnsi="Times New Roman" w:cs="Times New Roman"/>
          <w:lang w:val="lt-LT"/>
        </w:rPr>
        <w:t xml:space="preserve"> 2017 m. sausio 12 d. priimtą „2016–2019 metų kvietimų teikti paraiškas skelbimo, valstybės ir regionų projektų sąrašų ir finansavimo sutarčių sudarymo planą“</w:t>
      </w:r>
      <w:r w:rsidR="000452AE">
        <w:rPr>
          <w:rFonts w:ascii="Times New Roman" w:hAnsi="Times New Roman" w:cs="Times New Roman"/>
          <w:lang w:val="lt-LT"/>
        </w:rPr>
        <w:t xml:space="preserve"> ir Energetikos ministerijos pateiktą preliminarų planą.</w:t>
      </w:r>
    </w:p>
  </w:footnote>
  <w:footnote w:id="2">
    <w:p w14:paraId="0D75D547" w14:textId="77777777" w:rsidR="003131BA" w:rsidRPr="00441176" w:rsidRDefault="003131BA" w:rsidP="00DF52F7">
      <w:pPr>
        <w:pStyle w:val="Puslapioinaostekstas"/>
        <w:jc w:val="both"/>
        <w:rPr>
          <w:rFonts w:ascii="Times New Roman" w:hAnsi="Times New Roman" w:cs="Times New Roman"/>
          <w:lang w:val="lt-LT"/>
        </w:rPr>
      </w:pPr>
      <w:r w:rsidRPr="00441176">
        <w:rPr>
          <w:rStyle w:val="Puslapioinaosnuoroda"/>
          <w:rFonts w:ascii="Times New Roman" w:hAnsi="Times New Roman" w:cs="Times New Roman"/>
          <w:lang w:val="lt-LT"/>
        </w:rPr>
        <w:footnoteRef/>
      </w:r>
      <w:r w:rsidRPr="00441176">
        <w:rPr>
          <w:rFonts w:ascii="Times New Roman" w:hAnsi="Times New Roman" w:cs="Times New Roman"/>
          <w:lang w:val="lt-LT"/>
        </w:rPr>
        <w:t xml:space="preserve"> Skaičiuojamas savanoriškai organizaciją paliekančių darbuotojų procentas.</w:t>
      </w:r>
    </w:p>
  </w:footnote>
  <w:footnote w:id="3">
    <w:p w14:paraId="7C83B771" w14:textId="77777777" w:rsidR="003131BA" w:rsidRPr="00441176" w:rsidRDefault="003131BA" w:rsidP="00DF52F7">
      <w:pPr>
        <w:pStyle w:val="Puslapioinaostekstas"/>
        <w:jc w:val="both"/>
        <w:rPr>
          <w:lang w:val="lt-LT"/>
        </w:rPr>
      </w:pPr>
      <w:r w:rsidRPr="00441176">
        <w:rPr>
          <w:rStyle w:val="Puslapioinaosnuoroda"/>
          <w:rFonts w:ascii="Times New Roman" w:hAnsi="Times New Roman" w:cs="Times New Roman"/>
        </w:rPr>
        <w:footnoteRef/>
      </w:r>
      <w:r w:rsidRPr="00441176">
        <w:rPr>
          <w:rFonts w:ascii="Times New Roman" w:hAnsi="Times New Roman" w:cs="Times New Roman"/>
        </w:rPr>
        <w:t xml:space="preserve"> </w:t>
      </w:r>
      <w:r w:rsidRPr="00441176">
        <w:rPr>
          <w:rFonts w:ascii="Times New Roman" w:hAnsi="Times New Roman" w:cs="Times New Roman"/>
          <w:lang w:val="lt-LT"/>
        </w:rPr>
        <w:t>Skaičiuojami savanoriškai organizaciją paliekantys darbuotojai, kurių darbo stažas iki 1 metų, procentais</w:t>
      </w:r>
      <w:r>
        <w:rPr>
          <w:rFonts w:ascii="Times New Roman" w:hAnsi="Times New Roman" w:cs="Times New Roman"/>
          <w:lang w:val="lt-LT"/>
        </w:rPr>
        <w:t>.</w:t>
      </w:r>
    </w:p>
  </w:footnote>
  <w:footnote w:id="4">
    <w:p w14:paraId="5954408C" w14:textId="7D9AB802" w:rsidR="00F97DF1" w:rsidRPr="00F13428" w:rsidRDefault="00F97DF1">
      <w:pPr>
        <w:pStyle w:val="Puslapioinaostekstas"/>
        <w:rPr>
          <w:rFonts w:ascii="Times New Roman" w:hAnsi="Times New Roman" w:cs="Times New Roman"/>
          <w:sz w:val="22"/>
          <w:szCs w:val="22"/>
          <w:lang w:val="lt-LT"/>
        </w:rPr>
      </w:pPr>
      <w:r w:rsidRPr="00060F5E">
        <w:rPr>
          <w:rStyle w:val="Puslapioinaosnuoroda"/>
          <w:rFonts w:ascii="Times New Roman" w:hAnsi="Times New Roman" w:cs="Times New Roman"/>
          <w:sz w:val="22"/>
          <w:szCs w:val="22"/>
        </w:rPr>
        <w:footnoteRef/>
      </w:r>
      <w:r w:rsidRPr="00060F5E">
        <w:rPr>
          <w:rFonts w:ascii="Times New Roman" w:hAnsi="Times New Roman" w:cs="Times New Roman"/>
          <w:sz w:val="22"/>
          <w:szCs w:val="22"/>
        </w:rPr>
        <w:t xml:space="preserve"> </w:t>
      </w:r>
      <w:r w:rsidRPr="00F13428">
        <w:rPr>
          <w:rFonts w:ascii="Times New Roman" w:hAnsi="Times New Roman" w:cs="Times New Roman"/>
          <w:sz w:val="22"/>
          <w:szCs w:val="22"/>
        </w:rPr>
        <w:t>Sudarytų sutarčių ir pateiktų paraiškų AV f</w:t>
      </w:r>
      <w:r w:rsidRPr="00F13428">
        <w:rPr>
          <w:rFonts w:ascii="Times New Roman" w:hAnsi="Times New Roman" w:cs="Times New Roman"/>
          <w:sz w:val="22"/>
          <w:szCs w:val="22"/>
          <w:lang w:val="lt-LT"/>
        </w:rPr>
        <w:t>inansavimo sumos įrašytos pagal Ūkio ministerijos ir Energetikos ministerijos pateiktus prognostinius skaičius.</w:t>
      </w:r>
    </w:p>
  </w:footnote>
  <w:footnote w:id="5">
    <w:p w14:paraId="2462DC53" w14:textId="67391B12" w:rsidR="00060F5E" w:rsidRPr="00060F5E" w:rsidRDefault="00060F5E">
      <w:pPr>
        <w:pStyle w:val="Puslapioinaostekstas"/>
        <w:rPr>
          <w:lang w:val="lt-LT"/>
        </w:rPr>
      </w:pPr>
      <w:r w:rsidRPr="00F13428">
        <w:rPr>
          <w:rStyle w:val="Puslapioinaosnuoroda"/>
          <w:rFonts w:ascii="Times New Roman" w:hAnsi="Times New Roman" w:cs="Times New Roman"/>
          <w:sz w:val="22"/>
          <w:szCs w:val="22"/>
        </w:rPr>
        <w:footnoteRef/>
      </w:r>
      <w:r w:rsidRPr="00F13428">
        <w:rPr>
          <w:rFonts w:ascii="Times New Roman" w:hAnsi="Times New Roman" w:cs="Times New Roman"/>
          <w:sz w:val="22"/>
          <w:szCs w:val="22"/>
        </w:rPr>
        <w:t xml:space="preserve"> </w:t>
      </w:r>
      <w:r w:rsidR="001250C9" w:rsidRPr="00F13428">
        <w:rPr>
          <w:rFonts w:ascii="Times New Roman" w:hAnsi="Times New Roman" w:cs="Times New Roman"/>
          <w:sz w:val="22"/>
          <w:szCs w:val="22"/>
        </w:rPr>
        <w:t xml:space="preserve"> Į Energetikos ministerijos </w:t>
      </w:r>
      <w:r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>prognozę  įtrauk</w:t>
      </w:r>
      <w:r w:rsidR="001250C9"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>tos</w:t>
      </w:r>
      <w:r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 xml:space="preserve"> ir priemon</w:t>
      </w:r>
      <w:r w:rsidR="001250C9"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>ė</w:t>
      </w:r>
      <w:r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 xml:space="preserve">s, kurių administravimas dar nėra priskirtas LVPA, vėluoja trečiųjų asmenų sprendimai dėl Vilniaus kogeneracinės elektrinės projekto, </w:t>
      </w:r>
      <w:r w:rsidR="00F55BCB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>o tai</w:t>
      </w:r>
      <w:r w:rsidR="00F55BCB"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 xml:space="preserve"> </w:t>
      </w:r>
      <w:r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 xml:space="preserve">gali </w:t>
      </w:r>
      <w:r w:rsidR="00F55BCB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>daryti ženklią įtaką</w:t>
      </w:r>
      <w:r w:rsidR="00F55BCB"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 xml:space="preserve"> </w:t>
      </w:r>
      <w:r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>finansavimo rodikli</w:t>
      </w:r>
      <w:r w:rsidR="00F55BCB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>am</w:t>
      </w:r>
      <w:r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>s 2017 metais</w:t>
      </w:r>
      <w:r w:rsidR="001250C9" w:rsidRPr="00F13428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>.</w:t>
      </w:r>
      <w:r w:rsidR="004B13A5">
        <w:rPr>
          <w:rFonts w:ascii="Times New Roman" w:eastAsiaTheme="minorEastAsia" w:hAnsi="Times New Roman" w:cs="Times New Roman"/>
          <w:sz w:val="22"/>
          <w:szCs w:val="22"/>
          <w:lang w:val="lt-LT" w:eastAsia="lt-L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903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632F0A" w14:textId="7DC74AED" w:rsidR="003131BA" w:rsidRPr="00DF52F7" w:rsidRDefault="003131BA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2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2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2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980" w:rsidRPr="008F6980">
          <w:rPr>
            <w:rFonts w:ascii="Times New Roman" w:hAnsi="Times New Roman" w:cs="Times New Roman"/>
            <w:noProof/>
            <w:sz w:val="24"/>
            <w:szCs w:val="24"/>
            <w:lang w:val="lt-LT"/>
          </w:rPr>
          <w:t>2</w:t>
        </w:r>
        <w:r w:rsidRPr="00DF52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1065BA" w14:textId="77777777" w:rsidR="003131BA" w:rsidRDefault="003131B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D58"/>
    <w:multiLevelType w:val="hybridMultilevel"/>
    <w:tmpl w:val="D22C85A2"/>
    <w:lvl w:ilvl="0" w:tplc="F056C0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C1815"/>
    <w:multiLevelType w:val="hybridMultilevel"/>
    <w:tmpl w:val="A5C2A3E0"/>
    <w:lvl w:ilvl="0" w:tplc="4AAC35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F69"/>
    <w:multiLevelType w:val="hybridMultilevel"/>
    <w:tmpl w:val="09D0DF0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02C1"/>
    <w:multiLevelType w:val="hybridMultilevel"/>
    <w:tmpl w:val="95FC8A02"/>
    <w:lvl w:ilvl="0" w:tplc="A2506E5E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4085B"/>
    <w:multiLevelType w:val="hybridMultilevel"/>
    <w:tmpl w:val="473889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06C0"/>
    <w:multiLevelType w:val="hybridMultilevel"/>
    <w:tmpl w:val="50B6B6CA"/>
    <w:lvl w:ilvl="0" w:tplc="0427000F">
      <w:start w:val="1"/>
      <w:numFmt w:val="decimal"/>
      <w:lvlText w:val="%1."/>
      <w:lvlJc w:val="left"/>
      <w:pPr>
        <w:ind w:left="896" w:hanging="360"/>
      </w:pPr>
    </w:lvl>
    <w:lvl w:ilvl="1" w:tplc="04270019">
      <w:start w:val="1"/>
      <w:numFmt w:val="lowerLetter"/>
      <w:lvlText w:val="%2."/>
      <w:lvlJc w:val="left"/>
      <w:pPr>
        <w:ind w:left="1616" w:hanging="360"/>
      </w:pPr>
    </w:lvl>
    <w:lvl w:ilvl="2" w:tplc="0427001B">
      <w:start w:val="1"/>
      <w:numFmt w:val="lowerRoman"/>
      <w:lvlText w:val="%3."/>
      <w:lvlJc w:val="right"/>
      <w:pPr>
        <w:ind w:left="2336" w:hanging="180"/>
      </w:pPr>
    </w:lvl>
    <w:lvl w:ilvl="3" w:tplc="0427000F">
      <w:start w:val="1"/>
      <w:numFmt w:val="decimal"/>
      <w:lvlText w:val="%4."/>
      <w:lvlJc w:val="left"/>
      <w:pPr>
        <w:ind w:left="3056" w:hanging="360"/>
      </w:pPr>
    </w:lvl>
    <w:lvl w:ilvl="4" w:tplc="04270019">
      <w:start w:val="1"/>
      <w:numFmt w:val="lowerLetter"/>
      <w:lvlText w:val="%5."/>
      <w:lvlJc w:val="left"/>
      <w:pPr>
        <w:ind w:left="3776" w:hanging="360"/>
      </w:pPr>
    </w:lvl>
    <w:lvl w:ilvl="5" w:tplc="0427001B">
      <w:start w:val="1"/>
      <w:numFmt w:val="lowerRoman"/>
      <w:lvlText w:val="%6."/>
      <w:lvlJc w:val="right"/>
      <w:pPr>
        <w:ind w:left="4496" w:hanging="180"/>
      </w:pPr>
    </w:lvl>
    <w:lvl w:ilvl="6" w:tplc="0427000F">
      <w:start w:val="1"/>
      <w:numFmt w:val="decimal"/>
      <w:lvlText w:val="%7."/>
      <w:lvlJc w:val="left"/>
      <w:pPr>
        <w:ind w:left="5216" w:hanging="360"/>
      </w:pPr>
    </w:lvl>
    <w:lvl w:ilvl="7" w:tplc="04270019">
      <w:start w:val="1"/>
      <w:numFmt w:val="lowerLetter"/>
      <w:lvlText w:val="%8."/>
      <w:lvlJc w:val="left"/>
      <w:pPr>
        <w:ind w:left="5936" w:hanging="360"/>
      </w:pPr>
    </w:lvl>
    <w:lvl w:ilvl="8" w:tplc="0427001B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1BB34635"/>
    <w:multiLevelType w:val="hybridMultilevel"/>
    <w:tmpl w:val="48344D26"/>
    <w:lvl w:ilvl="0" w:tplc="F2FEC22E">
      <w:start w:val="1"/>
      <w:numFmt w:val="decimal"/>
      <w:lvlText w:val="%1."/>
      <w:lvlJc w:val="left"/>
      <w:pPr>
        <w:ind w:left="393" w:hanging="360"/>
      </w:pPr>
    </w:lvl>
    <w:lvl w:ilvl="1" w:tplc="04270019">
      <w:start w:val="1"/>
      <w:numFmt w:val="lowerLetter"/>
      <w:lvlText w:val="%2."/>
      <w:lvlJc w:val="left"/>
      <w:pPr>
        <w:ind w:left="1113" w:hanging="360"/>
      </w:pPr>
    </w:lvl>
    <w:lvl w:ilvl="2" w:tplc="0427001B">
      <w:start w:val="1"/>
      <w:numFmt w:val="lowerRoman"/>
      <w:lvlText w:val="%3."/>
      <w:lvlJc w:val="right"/>
      <w:pPr>
        <w:ind w:left="1833" w:hanging="180"/>
      </w:pPr>
    </w:lvl>
    <w:lvl w:ilvl="3" w:tplc="0427000F">
      <w:start w:val="1"/>
      <w:numFmt w:val="decimal"/>
      <w:lvlText w:val="%4."/>
      <w:lvlJc w:val="left"/>
      <w:pPr>
        <w:ind w:left="2553" w:hanging="360"/>
      </w:pPr>
    </w:lvl>
    <w:lvl w:ilvl="4" w:tplc="04270019">
      <w:start w:val="1"/>
      <w:numFmt w:val="lowerLetter"/>
      <w:lvlText w:val="%5."/>
      <w:lvlJc w:val="left"/>
      <w:pPr>
        <w:ind w:left="3273" w:hanging="360"/>
      </w:pPr>
    </w:lvl>
    <w:lvl w:ilvl="5" w:tplc="0427001B">
      <w:start w:val="1"/>
      <w:numFmt w:val="lowerRoman"/>
      <w:lvlText w:val="%6."/>
      <w:lvlJc w:val="right"/>
      <w:pPr>
        <w:ind w:left="3993" w:hanging="180"/>
      </w:pPr>
    </w:lvl>
    <w:lvl w:ilvl="6" w:tplc="0427000F">
      <w:start w:val="1"/>
      <w:numFmt w:val="decimal"/>
      <w:lvlText w:val="%7."/>
      <w:lvlJc w:val="left"/>
      <w:pPr>
        <w:ind w:left="4713" w:hanging="360"/>
      </w:pPr>
    </w:lvl>
    <w:lvl w:ilvl="7" w:tplc="04270019">
      <w:start w:val="1"/>
      <w:numFmt w:val="lowerLetter"/>
      <w:lvlText w:val="%8."/>
      <w:lvlJc w:val="left"/>
      <w:pPr>
        <w:ind w:left="5433" w:hanging="360"/>
      </w:pPr>
    </w:lvl>
    <w:lvl w:ilvl="8" w:tplc="0427001B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EF71A66"/>
    <w:multiLevelType w:val="hybridMultilevel"/>
    <w:tmpl w:val="7F265D2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1067"/>
    <w:multiLevelType w:val="hybridMultilevel"/>
    <w:tmpl w:val="96C81A70"/>
    <w:lvl w:ilvl="0" w:tplc="348A17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5F13F2E"/>
    <w:multiLevelType w:val="hybridMultilevel"/>
    <w:tmpl w:val="A5C2A3E0"/>
    <w:lvl w:ilvl="0" w:tplc="4AAC35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3412"/>
    <w:multiLevelType w:val="hybridMultilevel"/>
    <w:tmpl w:val="056204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3AE1"/>
    <w:multiLevelType w:val="hybridMultilevel"/>
    <w:tmpl w:val="EB907DEC"/>
    <w:lvl w:ilvl="0" w:tplc="F600EB3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EB545E"/>
    <w:multiLevelType w:val="hybridMultilevel"/>
    <w:tmpl w:val="BDCCD10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B21C0"/>
    <w:multiLevelType w:val="hybridMultilevel"/>
    <w:tmpl w:val="BED46B2A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BD86E41"/>
    <w:multiLevelType w:val="hybridMultilevel"/>
    <w:tmpl w:val="0154723E"/>
    <w:lvl w:ilvl="0" w:tplc="0427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4C58022D"/>
    <w:multiLevelType w:val="hybridMultilevel"/>
    <w:tmpl w:val="A5C2A3E0"/>
    <w:lvl w:ilvl="0" w:tplc="4AAC35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40A98"/>
    <w:multiLevelType w:val="hybridMultilevel"/>
    <w:tmpl w:val="96F489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60753"/>
    <w:multiLevelType w:val="hybridMultilevel"/>
    <w:tmpl w:val="48E83EAA"/>
    <w:lvl w:ilvl="0" w:tplc="042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57E5473"/>
    <w:multiLevelType w:val="multilevel"/>
    <w:tmpl w:val="1EFC1AF4"/>
    <w:lvl w:ilvl="0">
      <w:start w:val="1"/>
      <w:numFmt w:val="decimal"/>
      <w:lvlText w:val="%1."/>
      <w:lvlJc w:val="left"/>
      <w:pPr>
        <w:ind w:left="644" w:hanging="360"/>
      </w:pPr>
      <w:rPr>
        <w:rFonts w:eastAsia="MS PGothic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659A1DC6"/>
    <w:multiLevelType w:val="hybridMultilevel"/>
    <w:tmpl w:val="19E495CE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3654EB"/>
    <w:multiLevelType w:val="hybridMultilevel"/>
    <w:tmpl w:val="1EEEF9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8304B"/>
    <w:multiLevelType w:val="hybridMultilevel"/>
    <w:tmpl w:val="B82286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C0D69"/>
    <w:multiLevelType w:val="hybridMultilevel"/>
    <w:tmpl w:val="25582B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F1485"/>
    <w:multiLevelType w:val="hybridMultilevel"/>
    <w:tmpl w:val="BBE251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68F9"/>
    <w:multiLevelType w:val="hybridMultilevel"/>
    <w:tmpl w:val="BB2883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1"/>
  </w:num>
  <w:num w:numId="5">
    <w:abstractNumId w:val="9"/>
  </w:num>
  <w:num w:numId="6">
    <w:abstractNumId w:val="13"/>
  </w:num>
  <w:num w:numId="7">
    <w:abstractNumId w:val="24"/>
  </w:num>
  <w:num w:numId="8">
    <w:abstractNumId w:val="10"/>
  </w:num>
  <w:num w:numId="9">
    <w:abstractNumId w:val="6"/>
  </w:num>
  <w:num w:numId="10">
    <w:abstractNumId w:val="20"/>
  </w:num>
  <w:num w:numId="11">
    <w:abstractNumId w:val="5"/>
  </w:num>
  <w:num w:numId="12">
    <w:abstractNumId w:val="19"/>
  </w:num>
  <w:num w:numId="13">
    <w:abstractNumId w:val="23"/>
  </w:num>
  <w:num w:numId="14">
    <w:abstractNumId w:val="11"/>
  </w:num>
  <w:num w:numId="15">
    <w:abstractNumId w:val="1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8"/>
  </w:num>
  <w:num w:numId="19">
    <w:abstractNumId w:val="12"/>
  </w:num>
  <w:num w:numId="20">
    <w:abstractNumId w:val="7"/>
  </w:num>
  <w:num w:numId="21">
    <w:abstractNumId w:val="0"/>
  </w:num>
  <w:num w:numId="22">
    <w:abstractNumId w:val="8"/>
  </w:num>
  <w:num w:numId="23">
    <w:abstractNumId w:val="17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84"/>
    <w:rsid w:val="0000299F"/>
    <w:rsid w:val="000030B7"/>
    <w:rsid w:val="00006DD1"/>
    <w:rsid w:val="0001060F"/>
    <w:rsid w:val="000127FE"/>
    <w:rsid w:val="00012EF5"/>
    <w:rsid w:val="0001473B"/>
    <w:rsid w:val="00014D3E"/>
    <w:rsid w:val="00015599"/>
    <w:rsid w:val="000255D8"/>
    <w:rsid w:val="00027091"/>
    <w:rsid w:val="00027F1F"/>
    <w:rsid w:val="000425C6"/>
    <w:rsid w:val="000452AE"/>
    <w:rsid w:val="00046AFA"/>
    <w:rsid w:val="000505FD"/>
    <w:rsid w:val="000529F9"/>
    <w:rsid w:val="00052EA6"/>
    <w:rsid w:val="000536A4"/>
    <w:rsid w:val="00054E70"/>
    <w:rsid w:val="000561E3"/>
    <w:rsid w:val="00060F5E"/>
    <w:rsid w:val="00061F5C"/>
    <w:rsid w:val="00063921"/>
    <w:rsid w:val="000718B4"/>
    <w:rsid w:val="00083119"/>
    <w:rsid w:val="00087FEC"/>
    <w:rsid w:val="000A17CE"/>
    <w:rsid w:val="000A1DED"/>
    <w:rsid w:val="000A671E"/>
    <w:rsid w:val="000B1065"/>
    <w:rsid w:val="000B2815"/>
    <w:rsid w:val="000B76A9"/>
    <w:rsid w:val="000C0DB4"/>
    <w:rsid w:val="000C38B3"/>
    <w:rsid w:val="000C42CB"/>
    <w:rsid w:val="000C4A0D"/>
    <w:rsid w:val="000D2ED8"/>
    <w:rsid w:val="000D347B"/>
    <w:rsid w:val="000D5672"/>
    <w:rsid w:val="000D5C68"/>
    <w:rsid w:val="000E2C3E"/>
    <w:rsid w:val="000E66DE"/>
    <w:rsid w:val="000F0B3E"/>
    <w:rsid w:val="000F1F59"/>
    <w:rsid w:val="000F5E1B"/>
    <w:rsid w:val="0010348A"/>
    <w:rsid w:val="00105106"/>
    <w:rsid w:val="001068DB"/>
    <w:rsid w:val="00107F79"/>
    <w:rsid w:val="00117BFC"/>
    <w:rsid w:val="00120497"/>
    <w:rsid w:val="00120CCF"/>
    <w:rsid w:val="001250C9"/>
    <w:rsid w:val="0012710D"/>
    <w:rsid w:val="00130580"/>
    <w:rsid w:val="00130931"/>
    <w:rsid w:val="001353AF"/>
    <w:rsid w:val="00135849"/>
    <w:rsid w:val="0013718E"/>
    <w:rsid w:val="00142E4E"/>
    <w:rsid w:val="00143793"/>
    <w:rsid w:val="00144194"/>
    <w:rsid w:val="001455D2"/>
    <w:rsid w:val="001503EB"/>
    <w:rsid w:val="001506B7"/>
    <w:rsid w:val="00150DF2"/>
    <w:rsid w:val="00151188"/>
    <w:rsid w:val="00166E31"/>
    <w:rsid w:val="00170211"/>
    <w:rsid w:val="00170ED4"/>
    <w:rsid w:val="00173E16"/>
    <w:rsid w:val="00174DFC"/>
    <w:rsid w:val="00176A9B"/>
    <w:rsid w:val="00177231"/>
    <w:rsid w:val="00180543"/>
    <w:rsid w:val="00182EB4"/>
    <w:rsid w:val="00186954"/>
    <w:rsid w:val="0018754E"/>
    <w:rsid w:val="00191700"/>
    <w:rsid w:val="00193325"/>
    <w:rsid w:val="001953D7"/>
    <w:rsid w:val="001A066F"/>
    <w:rsid w:val="001A2ABC"/>
    <w:rsid w:val="001A4135"/>
    <w:rsid w:val="001B478F"/>
    <w:rsid w:val="001B52F4"/>
    <w:rsid w:val="001B5805"/>
    <w:rsid w:val="001B69F9"/>
    <w:rsid w:val="001B6A34"/>
    <w:rsid w:val="001B78FC"/>
    <w:rsid w:val="001C0263"/>
    <w:rsid w:val="001C1767"/>
    <w:rsid w:val="001C339C"/>
    <w:rsid w:val="001C6B5B"/>
    <w:rsid w:val="001C7537"/>
    <w:rsid w:val="001D322C"/>
    <w:rsid w:val="001D353A"/>
    <w:rsid w:val="001D4492"/>
    <w:rsid w:val="001D509C"/>
    <w:rsid w:val="001D7C68"/>
    <w:rsid w:val="001E1397"/>
    <w:rsid w:val="001E1A04"/>
    <w:rsid w:val="001E28D4"/>
    <w:rsid w:val="001E297E"/>
    <w:rsid w:val="001E4A70"/>
    <w:rsid w:val="001E4BF7"/>
    <w:rsid w:val="001E796B"/>
    <w:rsid w:val="001F23A4"/>
    <w:rsid w:val="001F41D3"/>
    <w:rsid w:val="0020210B"/>
    <w:rsid w:val="002035D1"/>
    <w:rsid w:val="00205AD8"/>
    <w:rsid w:val="00210CD6"/>
    <w:rsid w:val="00221349"/>
    <w:rsid w:val="002213E2"/>
    <w:rsid w:val="0022335F"/>
    <w:rsid w:val="002248F5"/>
    <w:rsid w:val="00225965"/>
    <w:rsid w:val="00227C9D"/>
    <w:rsid w:val="00230B79"/>
    <w:rsid w:val="0023205C"/>
    <w:rsid w:val="00234DA1"/>
    <w:rsid w:val="002413FC"/>
    <w:rsid w:val="00243FAF"/>
    <w:rsid w:val="00244EE7"/>
    <w:rsid w:val="00246D2E"/>
    <w:rsid w:val="00254735"/>
    <w:rsid w:val="00260B0D"/>
    <w:rsid w:val="00265072"/>
    <w:rsid w:val="00265A1A"/>
    <w:rsid w:val="00267333"/>
    <w:rsid w:val="00267C8C"/>
    <w:rsid w:val="0027745C"/>
    <w:rsid w:val="00280CB1"/>
    <w:rsid w:val="002956BE"/>
    <w:rsid w:val="00296058"/>
    <w:rsid w:val="00296F5B"/>
    <w:rsid w:val="00297679"/>
    <w:rsid w:val="002A5021"/>
    <w:rsid w:val="002A67DB"/>
    <w:rsid w:val="002A6A49"/>
    <w:rsid w:val="002A7577"/>
    <w:rsid w:val="002B17FB"/>
    <w:rsid w:val="002B3C02"/>
    <w:rsid w:val="002B46D3"/>
    <w:rsid w:val="002B6B1C"/>
    <w:rsid w:val="002C2E6B"/>
    <w:rsid w:val="002C3CBF"/>
    <w:rsid w:val="002C4A03"/>
    <w:rsid w:val="002D0311"/>
    <w:rsid w:val="002D393F"/>
    <w:rsid w:val="002D4218"/>
    <w:rsid w:val="002D4C05"/>
    <w:rsid w:val="002D69B9"/>
    <w:rsid w:val="002D712D"/>
    <w:rsid w:val="002F0FE6"/>
    <w:rsid w:val="002F11C5"/>
    <w:rsid w:val="002F1B13"/>
    <w:rsid w:val="002F291D"/>
    <w:rsid w:val="002F72AF"/>
    <w:rsid w:val="002F7458"/>
    <w:rsid w:val="002F7F66"/>
    <w:rsid w:val="00302ABD"/>
    <w:rsid w:val="00302D31"/>
    <w:rsid w:val="0030537E"/>
    <w:rsid w:val="0030544F"/>
    <w:rsid w:val="0030654E"/>
    <w:rsid w:val="00307033"/>
    <w:rsid w:val="00307347"/>
    <w:rsid w:val="00310BFC"/>
    <w:rsid w:val="00311588"/>
    <w:rsid w:val="003126C7"/>
    <w:rsid w:val="003131BA"/>
    <w:rsid w:val="00313671"/>
    <w:rsid w:val="00315646"/>
    <w:rsid w:val="00315B8C"/>
    <w:rsid w:val="003171F7"/>
    <w:rsid w:val="003215D5"/>
    <w:rsid w:val="00322B93"/>
    <w:rsid w:val="00323E82"/>
    <w:rsid w:val="0032553C"/>
    <w:rsid w:val="00331B78"/>
    <w:rsid w:val="00337165"/>
    <w:rsid w:val="0034247C"/>
    <w:rsid w:val="0034539D"/>
    <w:rsid w:val="003462D2"/>
    <w:rsid w:val="003564CF"/>
    <w:rsid w:val="00357339"/>
    <w:rsid w:val="0036072E"/>
    <w:rsid w:val="00365A44"/>
    <w:rsid w:val="00370237"/>
    <w:rsid w:val="00371ABD"/>
    <w:rsid w:val="003828A4"/>
    <w:rsid w:val="0038706E"/>
    <w:rsid w:val="00391BD1"/>
    <w:rsid w:val="00393BB8"/>
    <w:rsid w:val="00394F0B"/>
    <w:rsid w:val="00397C2D"/>
    <w:rsid w:val="003A1698"/>
    <w:rsid w:val="003A1C55"/>
    <w:rsid w:val="003A54C5"/>
    <w:rsid w:val="003B74B6"/>
    <w:rsid w:val="003C10CF"/>
    <w:rsid w:val="003C33D7"/>
    <w:rsid w:val="003C3B6A"/>
    <w:rsid w:val="003D0536"/>
    <w:rsid w:val="003D5CEA"/>
    <w:rsid w:val="003D755E"/>
    <w:rsid w:val="003E1CC3"/>
    <w:rsid w:val="003E2FA9"/>
    <w:rsid w:val="003E4FB2"/>
    <w:rsid w:val="003F300F"/>
    <w:rsid w:val="003F3011"/>
    <w:rsid w:val="003F4F9B"/>
    <w:rsid w:val="003F623F"/>
    <w:rsid w:val="003F6769"/>
    <w:rsid w:val="00401732"/>
    <w:rsid w:val="0041136E"/>
    <w:rsid w:val="00414FB1"/>
    <w:rsid w:val="00422290"/>
    <w:rsid w:val="00423833"/>
    <w:rsid w:val="00432528"/>
    <w:rsid w:val="00432F1C"/>
    <w:rsid w:val="00433E2E"/>
    <w:rsid w:val="00435121"/>
    <w:rsid w:val="00436A7E"/>
    <w:rsid w:val="00441176"/>
    <w:rsid w:val="00441A4A"/>
    <w:rsid w:val="00444204"/>
    <w:rsid w:val="00444F55"/>
    <w:rsid w:val="00450C02"/>
    <w:rsid w:val="00452507"/>
    <w:rsid w:val="00453777"/>
    <w:rsid w:val="00453DC0"/>
    <w:rsid w:val="00455E51"/>
    <w:rsid w:val="004604A5"/>
    <w:rsid w:val="004624D5"/>
    <w:rsid w:val="00462D2F"/>
    <w:rsid w:val="00463903"/>
    <w:rsid w:val="00465F3B"/>
    <w:rsid w:val="004779AD"/>
    <w:rsid w:val="004847C5"/>
    <w:rsid w:val="00490199"/>
    <w:rsid w:val="00493099"/>
    <w:rsid w:val="00493780"/>
    <w:rsid w:val="004A19F6"/>
    <w:rsid w:val="004A2FBD"/>
    <w:rsid w:val="004B13A5"/>
    <w:rsid w:val="004B4BC7"/>
    <w:rsid w:val="004C2132"/>
    <w:rsid w:val="004C2BBC"/>
    <w:rsid w:val="004C7A05"/>
    <w:rsid w:val="004D7993"/>
    <w:rsid w:val="004D7CDE"/>
    <w:rsid w:val="004E0F39"/>
    <w:rsid w:val="004F6E2E"/>
    <w:rsid w:val="00502115"/>
    <w:rsid w:val="00504201"/>
    <w:rsid w:val="00504ABD"/>
    <w:rsid w:val="00505BA5"/>
    <w:rsid w:val="00507979"/>
    <w:rsid w:val="00512EF8"/>
    <w:rsid w:val="00513578"/>
    <w:rsid w:val="00515A06"/>
    <w:rsid w:val="00520266"/>
    <w:rsid w:val="0052302E"/>
    <w:rsid w:val="0053600E"/>
    <w:rsid w:val="00542134"/>
    <w:rsid w:val="005441F4"/>
    <w:rsid w:val="00545BBA"/>
    <w:rsid w:val="00547322"/>
    <w:rsid w:val="00562862"/>
    <w:rsid w:val="005631B0"/>
    <w:rsid w:val="0056409F"/>
    <w:rsid w:val="00570671"/>
    <w:rsid w:val="0057096B"/>
    <w:rsid w:val="00570D8E"/>
    <w:rsid w:val="00577D44"/>
    <w:rsid w:val="0058363C"/>
    <w:rsid w:val="005844F3"/>
    <w:rsid w:val="00584651"/>
    <w:rsid w:val="0059268F"/>
    <w:rsid w:val="00595CCF"/>
    <w:rsid w:val="005B0632"/>
    <w:rsid w:val="005B08F6"/>
    <w:rsid w:val="005B3761"/>
    <w:rsid w:val="005B7AF6"/>
    <w:rsid w:val="005C0A17"/>
    <w:rsid w:val="005C1FA8"/>
    <w:rsid w:val="005C2017"/>
    <w:rsid w:val="005C2A55"/>
    <w:rsid w:val="005C4BB7"/>
    <w:rsid w:val="005C62B4"/>
    <w:rsid w:val="005D093F"/>
    <w:rsid w:val="005D3202"/>
    <w:rsid w:val="005E1FFC"/>
    <w:rsid w:val="005E777C"/>
    <w:rsid w:val="005F3309"/>
    <w:rsid w:val="005F3CD4"/>
    <w:rsid w:val="005F734F"/>
    <w:rsid w:val="00610373"/>
    <w:rsid w:val="00611A19"/>
    <w:rsid w:val="0061303C"/>
    <w:rsid w:val="006213BB"/>
    <w:rsid w:val="00622DA6"/>
    <w:rsid w:val="00623462"/>
    <w:rsid w:val="006243AE"/>
    <w:rsid w:val="00631209"/>
    <w:rsid w:val="00635084"/>
    <w:rsid w:val="00636437"/>
    <w:rsid w:val="00641434"/>
    <w:rsid w:val="006419FC"/>
    <w:rsid w:val="00643CCA"/>
    <w:rsid w:val="006443D0"/>
    <w:rsid w:val="006477BC"/>
    <w:rsid w:val="00647CFE"/>
    <w:rsid w:val="00652F77"/>
    <w:rsid w:val="0066019C"/>
    <w:rsid w:val="0066311F"/>
    <w:rsid w:val="006636C8"/>
    <w:rsid w:val="00667BEE"/>
    <w:rsid w:val="006736D3"/>
    <w:rsid w:val="006741CC"/>
    <w:rsid w:val="00674C85"/>
    <w:rsid w:val="006769CD"/>
    <w:rsid w:val="00680048"/>
    <w:rsid w:val="006845D1"/>
    <w:rsid w:val="00684F4E"/>
    <w:rsid w:val="006904DA"/>
    <w:rsid w:val="00690DAB"/>
    <w:rsid w:val="006A05C3"/>
    <w:rsid w:val="006A2A87"/>
    <w:rsid w:val="006A3236"/>
    <w:rsid w:val="006B01E4"/>
    <w:rsid w:val="006B1436"/>
    <w:rsid w:val="006B67D6"/>
    <w:rsid w:val="006C1301"/>
    <w:rsid w:val="006C6CAF"/>
    <w:rsid w:val="006C707B"/>
    <w:rsid w:val="006C7187"/>
    <w:rsid w:val="006D1437"/>
    <w:rsid w:val="006E1A02"/>
    <w:rsid w:val="006E5025"/>
    <w:rsid w:val="006E7AD5"/>
    <w:rsid w:val="006F2A4A"/>
    <w:rsid w:val="006F3FD9"/>
    <w:rsid w:val="006F6BF5"/>
    <w:rsid w:val="00712BD2"/>
    <w:rsid w:val="0071351C"/>
    <w:rsid w:val="00716A63"/>
    <w:rsid w:val="007208C5"/>
    <w:rsid w:val="00730506"/>
    <w:rsid w:val="007312FA"/>
    <w:rsid w:val="00732302"/>
    <w:rsid w:val="00734A74"/>
    <w:rsid w:val="00740398"/>
    <w:rsid w:val="007432EB"/>
    <w:rsid w:val="00743BA2"/>
    <w:rsid w:val="007449E0"/>
    <w:rsid w:val="00747445"/>
    <w:rsid w:val="007504E3"/>
    <w:rsid w:val="007511C0"/>
    <w:rsid w:val="00752FCB"/>
    <w:rsid w:val="0075387A"/>
    <w:rsid w:val="00764362"/>
    <w:rsid w:val="00765712"/>
    <w:rsid w:val="00765E40"/>
    <w:rsid w:val="007772A0"/>
    <w:rsid w:val="00777F4B"/>
    <w:rsid w:val="007932F4"/>
    <w:rsid w:val="0079412C"/>
    <w:rsid w:val="007A0321"/>
    <w:rsid w:val="007A0B8E"/>
    <w:rsid w:val="007A15CE"/>
    <w:rsid w:val="007A6337"/>
    <w:rsid w:val="007A7E7D"/>
    <w:rsid w:val="007B2119"/>
    <w:rsid w:val="007C3856"/>
    <w:rsid w:val="007C511F"/>
    <w:rsid w:val="007D08FF"/>
    <w:rsid w:val="007D4EA5"/>
    <w:rsid w:val="007D5459"/>
    <w:rsid w:val="007D66B8"/>
    <w:rsid w:val="007D674B"/>
    <w:rsid w:val="007D6CAB"/>
    <w:rsid w:val="007E455B"/>
    <w:rsid w:val="007E5EF4"/>
    <w:rsid w:val="007F0259"/>
    <w:rsid w:val="007F6EC1"/>
    <w:rsid w:val="008018AD"/>
    <w:rsid w:val="00801EC7"/>
    <w:rsid w:val="008079F9"/>
    <w:rsid w:val="00812FEC"/>
    <w:rsid w:val="00814D32"/>
    <w:rsid w:val="0081508E"/>
    <w:rsid w:val="00815937"/>
    <w:rsid w:val="00815A4E"/>
    <w:rsid w:val="008221D5"/>
    <w:rsid w:val="00823BD0"/>
    <w:rsid w:val="00824514"/>
    <w:rsid w:val="00825116"/>
    <w:rsid w:val="0082623B"/>
    <w:rsid w:val="00827100"/>
    <w:rsid w:val="008273E0"/>
    <w:rsid w:val="008314B0"/>
    <w:rsid w:val="00834C87"/>
    <w:rsid w:val="00834DB9"/>
    <w:rsid w:val="00836B65"/>
    <w:rsid w:val="00841BC9"/>
    <w:rsid w:val="00841D6C"/>
    <w:rsid w:val="0084201A"/>
    <w:rsid w:val="00843998"/>
    <w:rsid w:val="00846E2E"/>
    <w:rsid w:val="00851367"/>
    <w:rsid w:val="00857BFD"/>
    <w:rsid w:val="00861E28"/>
    <w:rsid w:val="00863561"/>
    <w:rsid w:val="00872155"/>
    <w:rsid w:val="0088076A"/>
    <w:rsid w:val="00890FBD"/>
    <w:rsid w:val="00891C45"/>
    <w:rsid w:val="008946EA"/>
    <w:rsid w:val="008A1E12"/>
    <w:rsid w:val="008A468C"/>
    <w:rsid w:val="008B1AD4"/>
    <w:rsid w:val="008B2C0A"/>
    <w:rsid w:val="008B35B2"/>
    <w:rsid w:val="008B4A50"/>
    <w:rsid w:val="008C07A1"/>
    <w:rsid w:val="008C1C92"/>
    <w:rsid w:val="008C21C4"/>
    <w:rsid w:val="008C2483"/>
    <w:rsid w:val="008C2B33"/>
    <w:rsid w:val="008C50C6"/>
    <w:rsid w:val="008D47EB"/>
    <w:rsid w:val="008D7337"/>
    <w:rsid w:val="008D7B98"/>
    <w:rsid w:val="008E084C"/>
    <w:rsid w:val="008E114B"/>
    <w:rsid w:val="008E31B1"/>
    <w:rsid w:val="008E4727"/>
    <w:rsid w:val="008E5F12"/>
    <w:rsid w:val="008F128D"/>
    <w:rsid w:val="008F20A6"/>
    <w:rsid w:val="008F6980"/>
    <w:rsid w:val="009010E3"/>
    <w:rsid w:val="00901B67"/>
    <w:rsid w:val="0090550D"/>
    <w:rsid w:val="009055AA"/>
    <w:rsid w:val="00905DEF"/>
    <w:rsid w:val="009062D9"/>
    <w:rsid w:val="0090719C"/>
    <w:rsid w:val="00913C93"/>
    <w:rsid w:val="00915B12"/>
    <w:rsid w:val="0091662C"/>
    <w:rsid w:val="00917F4E"/>
    <w:rsid w:val="00923658"/>
    <w:rsid w:val="0092798E"/>
    <w:rsid w:val="00927F2F"/>
    <w:rsid w:val="0093258E"/>
    <w:rsid w:val="009327C3"/>
    <w:rsid w:val="00933C6A"/>
    <w:rsid w:val="00933E89"/>
    <w:rsid w:val="009360A1"/>
    <w:rsid w:val="009360DC"/>
    <w:rsid w:val="00944F6D"/>
    <w:rsid w:val="00946761"/>
    <w:rsid w:val="00951344"/>
    <w:rsid w:val="00952062"/>
    <w:rsid w:val="00953719"/>
    <w:rsid w:val="009539C2"/>
    <w:rsid w:val="0095625F"/>
    <w:rsid w:val="0095763D"/>
    <w:rsid w:val="00957C1F"/>
    <w:rsid w:val="009613C8"/>
    <w:rsid w:val="009648AB"/>
    <w:rsid w:val="00970AE5"/>
    <w:rsid w:val="009726D2"/>
    <w:rsid w:val="00973357"/>
    <w:rsid w:val="009753C5"/>
    <w:rsid w:val="0097600F"/>
    <w:rsid w:val="00976789"/>
    <w:rsid w:val="00977D76"/>
    <w:rsid w:val="009806E5"/>
    <w:rsid w:val="009854AC"/>
    <w:rsid w:val="00990A7A"/>
    <w:rsid w:val="00990B13"/>
    <w:rsid w:val="0099173E"/>
    <w:rsid w:val="009920A3"/>
    <w:rsid w:val="009975C6"/>
    <w:rsid w:val="009A0505"/>
    <w:rsid w:val="009A0D00"/>
    <w:rsid w:val="009A0F0F"/>
    <w:rsid w:val="009A293E"/>
    <w:rsid w:val="009A51F8"/>
    <w:rsid w:val="009A7266"/>
    <w:rsid w:val="009A7E63"/>
    <w:rsid w:val="009B50E4"/>
    <w:rsid w:val="009B7462"/>
    <w:rsid w:val="009C01D1"/>
    <w:rsid w:val="009C5A81"/>
    <w:rsid w:val="009D1E51"/>
    <w:rsid w:val="009D2BD9"/>
    <w:rsid w:val="009D6A08"/>
    <w:rsid w:val="009D71D7"/>
    <w:rsid w:val="009D7285"/>
    <w:rsid w:val="009E2C55"/>
    <w:rsid w:val="009E7078"/>
    <w:rsid w:val="009F1786"/>
    <w:rsid w:val="009F1A82"/>
    <w:rsid w:val="009F3F7A"/>
    <w:rsid w:val="00A14B5F"/>
    <w:rsid w:val="00A16DD6"/>
    <w:rsid w:val="00A1783D"/>
    <w:rsid w:val="00A215E5"/>
    <w:rsid w:val="00A22206"/>
    <w:rsid w:val="00A22D33"/>
    <w:rsid w:val="00A230A2"/>
    <w:rsid w:val="00A25B33"/>
    <w:rsid w:val="00A2783A"/>
    <w:rsid w:val="00A2795D"/>
    <w:rsid w:val="00A303D5"/>
    <w:rsid w:val="00A32486"/>
    <w:rsid w:val="00A332DA"/>
    <w:rsid w:val="00A368C8"/>
    <w:rsid w:val="00A37751"/>
    <w:rsid w:val="00A40286"/>
    <w:rsid w:val="00A423D1"/>
    <w:rsid w:val="00A477AF"/>
    <w:rsid w:val="00A54B1B"/>
    <w:rsid w:val="00A56136"/>
    <w:rsid w:val="00A630EF"/>
    <w:rsid w:val="00A641B9"/>
    <w:rsid w:val="00A70E76"/>
    <w:rsid w:val="00A7220C"/>
    <w:rsid w:val="00A7548F"/>
    <w:rsid w:val="00A83415"/>
    <w:rsid w:val="00A83B19"/>
    <w:rsid w:val="00A85F04"/>
    <w:rsid w:val="00A868C7"/>
    <w:rsid w:val="00A91FF9"/>
    <w:rsid w:val="00A92484"/>
    <w:rsid w:val="00A964D9"/>
    <w:rsid w:val="00AA04FD"/>
    <w:rsid w:val="00AA1122"/>
    <w:rsid w:val="00AA1130"/>
    <w:rsid w:val="00AA35CE"/>
    <w:rsid w:val="00AA37E3"/>
    <w:rsid w:val="00AA502E"/>
    <w:rsid w:val="00AA69F2"/>
    <w:rsid w:val="00AB07C1"/>
    <w:rsid w:val="00AB4911"/>
    <w:rsid w:val="00AB5246"/>
    <w:rsid w:val="00AB567B"/>
    <w:rsid w:val="00AC1165"/>
    <w:rsid w:val="00AC21BF"/>
    <w:rsid w:val="00AC5C80"/>
    <w:rsid w:val="00AD2B93"/>
    <w:rsid w:val="00AD33E7"/>
    <w:rsid w:val="00AD75AC"/>
    <w:rsid w:val="00AD7F37"/>
    <w:rsid w:val="00AE2CE1"/>
    <w:rsid w:val="00AE2EAA"/>
    <w:rsid w:val="00AE771F"/>
    <w:rsid w:val="00AE7ACA"/>
    <w:rsid w:val="00AF7283"/>
    <w:rsid w:val="00AF751C"/>
    <w:rsid w:val="00AF7F6D"/>
    <w:rsid w:val="00B0060D"/>
    <w:rsid w:val="00B05D2D"/>
    <w:rsid w:val="00B060D1"/>
    <w:rsid w:val="00B10DD9"/>
    <w:rsid w:val="00B11D29"/>
    <w:rsid w:val="00B16556"/>
    <w:rsid w:val="00B233FD"/>
    <w:rsid w:val="00B26011"/>
    <w:rsid w:val="00B26693"/>
    <w:rsid w:val="00B31889"/>
    <w:rsid w:val="00B323D9"/>
    <w:rsid w:val="00B3561C"/>
    <w:rsid w:val="00B51077"/>
    <w:rsid w:val="00B51B68"/>
    <w:rsid w:val="00B51BA6"/>
    <w:rsid w:val="00B54766"/>
    <w:rsid w:val="00B64131"/>
    <w:rsid w:val="00B65BBF"/>
    <w:rsid w:val="00B70AC3"/>
    <w:rsid w:val="00B70D11"/>
    <w:rsid w:val="00B7132B"/>
    <w:rsid w:val="00B7458B"/>
    <w:rsid w:val="00B748FE"/>
    <w:rsid w:val="00B76B9E"/>
    <w:rsid w:val="00B77050"/>
    <w:rsid w:val="00B77D27"/>
    <w:rsid w:val="00B829A0"/>
    <w:rsid w:val="00B8606B"/>
    <w:rsid w:val="00B868E3"/>
    <w:rsid w:val="00B876D3"/>
    <w:rsid w:val="00B9070C"/>
    <w:rsid w:val="00B90B87"/>
    <w:rsid w:val="00B9256C"/>
    <w:rsid w:val="00B95F1F"/>
    <w:rsid w:val="00BA05FD"/>
    <w:rsid w:val="00BA143D"/>
    <w:rsid w:val="00BA218C"/>
    <w:rsid w:val="00BA2CB2"/>
    <w:rsid w:val="00BB048F"/>
    <w:rsid w:val="00BB4181"/>
    <w:rsid w:val="00BB4345"/>
    <w:rsid w:val="00BB4B81"/>
    <w:rsid w:val="00BB550B"/>
    <w:rsid w:val="00BC09E5"/>
    <w:rsid w:val="00BC3C9F"/>
    <w:rsid w:val="00BC7547"/>
    <w:rsid w:val="00BC7AC4"/>
    <w:rsid w:val="00BD050F"/>
    <w:rsid w:val="00BD5665"/>
    <w:rsid w:val="00BD687A"/>
    <w:rsid w:val="00BE5033"/>
    <w:rsid w:val="00BE56AD"/>
    <w:rsid w:val="00BF082E"/>
    <w:rsid w:val="00BF1A79"/>
    <w:rsid w:val="00C0032F"/>
    <w:rsid w:val="00C004F6"/>
    <w:rsid w:val="00C01F99"/>
    <w:rsid w:val="00C051FB"/>
    <w:rsid w:val="00C054FA"/>
    <w:rsid w:val="00C0716F"/>
    <w:rsid w:val="00C104BA"/>
    <w:rsid w:val="00C132CE"/>
    <w:rsid w:val="00C156E9"/>
    <w:rsid w:val="00C15B8E"/>
    <w:rsid w:val="00C17407"/>
    <w:rsid w:val="00C22A40"/>
    <w:rsid w:val="00C27992"/>
    <w:rsid w:val="00C305D6"/>
    <w:rsid w:val="00C30DE0"/>
    <w:rsid w:val="00C31E44"/>
    <w:rsid w:val="00C3300B"/>
    <w:rsid w:val="00C333DB"/>
    <w:rsid w:val="00C36542"/>
    <w:rsid w:val="00C54A04"/>
    <w:rsid w:val="00C55065"/>
    <w:rsid w:val="00C55C0C"/>
    <w:rsid w:val="00C57AA0"/>
    <w:rsid w:val="00C60F3F"/>
    <w:rsid w:val="00C65C7F"/>
    <w:rsid w:val="00C67028"/>
    <w:rsid w:val="00C71EB4"/>
    <w:rsid w:val="00C747DA"/>
    <w:rsid w:val="00C74C17"/>
    <w:rsid w:val="00C75129"/>
    <w:rsid w:val="00C8057F"/>
    <w:rsid w:val="00C81CD9"/>
    <w:rsid w:val="00C86222"/>
    <w:rsid w:val="00C86D37"/>
    <w:rsid w:val="00C87A95"/>
    <w:rsid w:val="00C922AE"/>
    <w:rsid w:val="00C971D6"/>
    <w:rsid w:val="00CA288B"/>
    <w:rsid w:val="00CA31D2"/>
    <w:rsid w:val="00CA3B2A"/>
    <w:rsid w:val="00CA683F"/>
    <w:rsid w:val="00CA6D23"/>
    <w:rsid w:val="00CB0E3F"/>
    <w:rsid w:val="00CB3FD2"/>
    <w:rsid w:val="00CB5546"/>
    <w:rsid w:val="00CC0D4E"/>
    <w:rsid w:val="00CC6277"/>
    <w:rsid w:val="00CD02D9"/>
    <w:rsid w:val="00CD1B42"/>
    <w:rsid w:val="00CD24A2"/>
    <w:rsid w:val="00CD2CEF"/>
    <w:rsid w:val="00CD6749"/>
    <w:rsid w:val="00CD6B3C"/>
    <w:rsid w:val="00CE2B8A"/>
    <w:rsid w:val="00CE4F46"/>
    <w:rsid w:val="00CE7A6B"/>
    <w:rsid w:val="00CF1682"/>
    <w:rsid w:val="00CF1BD7"/>
    <w:rsid w:val="00CF202D"/>
    <w:rsid w:val="00CF2FF2"/>
    <w:rsid w:val="00D050CD"/>
    <w:rsid w:val="00D06BBE"/>
    <w:rsid w:val="00D1310D"/>
    <w:rsid w:val="00D16216"/>
    <w:rsid w:val="00D17422"/>
    <w:rsid w:val="00D20EAB"/>
    <w:rsid w:val="00D214C6"/>
    <w:rsid w:val="00D2246C"/>
    <w:rsid w:val="00D22C03"/>
    <w:rsid w:val="00D2544B"/>
    <w:rsid w:val="00D34733"/>
    <w:rsid w:val="00D429C8"/>
    <w:rsid w:val="00D42CF8"/>
    <w:rsid w:val="00D434CA"/>
    <w:rsid w:val="00D47A42"/>
    <w:rsid w:val="00D47E3F"/>
    <w:rsid w:val="00D50B6D"/>
    <w:rsid w:val="00D5552E"/>
    <w:rsid w:val="00D65D78"/>
    <w:rsid w:val="00D67986"/>
    <w:rsid w:val="00D75523"/>
    <w:rsid w:val="00D75F0D"/>
    <w:rsid w:val="00D77F5C"/>
    <w:rsid w:val="00D82007"/>
    <w:rsid w:val="00D83949"/>
    <w:rsid w:val="00D84567"/>
    <w:rsid w:val="00D87437"/>
    <w:rsid w:val="00D91070"/>
    <w:rsid w:val="00D91B33"/>
    <w:rsid w:val="00DA327A"/>
    <w:rsid w:val="00DA7EF1"/>
    <w:rsid w:val="00DB3DE4"/>
    <w:rsid w:val="00DB43CA"/>
    <w:rsid w:val="00DB7055"/>
    <w:rsid w:val="00DB758E"/>
    <w:rsid w:val="00DC211C"/>
    <w:rsid w:val="00DC2451"/>
    <w:rsid w:val="00DC4487"/>
    <w:rsid w:val="00DC5DFF"/>
    <w:rsid w:val="00DC64A0"/>
    <w:rsid w:val="00DD2213"/>
    <w:rsid w:val="00DD45CB"/>
    <w:rsid w:val="00DD542B"/>
    <w:rsid w:val="00DE28C9"/>
    <w:rsid w:val="00DE2967"/>
    <w:rsid w:val="00DE2FB3"/>
    <w:rsid w:val="00DE4BFF"/>
    <w:rsid w:val="00DE636A"/>
    <w:rsid w:val="00DE7745"/>
    <w:rsid w:val="00DF0C6E"/>
    <w:rsid w:val="00DF1699"/>
    <w:rsid w:val="00DF1BA8"/>
    <w:rsid w:val="00DF32F6"/>
    <w:rsid w:val="00DF415A"/>
    <w:rsid w:val="00DF49D3"/>
    <w:rsid w:val="00DF52F7"/>
    <w:rsid w:val="00DF5825"/>
    <w:rsid w:val="00DF68B7"/>
    <w:rsid w:val="00E02007"/>
    <w:rsid w:val="00E026CB"/>
    <w:rsid w:val="00E02728"/>
    <w:rsid w:val="00E039D7"/>
    <w:rsid w:val="00E044B5"/>
    <w:rsid w:val="00E04786"/>
    <w:rsid w:val="00E06C43"/>
    <w:rsid w:val="00E10B52"/>
    <w:rsid w:val="00E10B78"/>
    <w:rsid w:val="00E1622F"/>
    <w:rsid w:val="00E20D0F"/>
    <w:rsid w:val="00E236E8"/>
    <w:rsid w:val="00E27095"/>
    <w:rsid w:val="00E27DFB"/>
    <w:rsid w:val="00E366F9"/>
    <w:rsid w:val="00E401FD"/>
    <w:rsid w:val="00E5001B"/>
    <w:rsid w:val="00E50414"/>
    <w:rsid w:val="00E51C5B"/>
    <w:rsid w:val="00E52662"/>
    <w:rsid w:val="00E56A97"/>
    <w:rsid w:val="00E6041B"/>
    <w:rsid w:val="00E63574"/>
    <w:rsid w:val="00E64875"/>
    <w:rsid w:val="00E67229"/>
    <w:rsid w:val="00E710A9"/>
    <w:rsid w:val="00E723A5"/>
    <w:rsid w:val="00E723C0"/>
    <w:rsid w:val="00E74BE7"/>
    <w:rsid w:val="00E779F1"/>
    <w:rsid w:val="00E83678"/>
    <w:rsid w:val="00E83D46"/>
    <w:rsid w:val="00E85A76"/>
    <w:rsid w:val="00E8614D"/>
    <w:rsid w:val="00E9456D"/>
    <w:rsid w:val="00E94951"/>
    <w:rsid w:val="00EA1D3D"/>
    <w:rsid w:val="00EA38F0"/>
    <w:rsid w:val="00EA3A1B"/>
    <w:rsid w:val="00EA4138"/>
    <w:rsid w:val="00EA6531"/>
    <w:rsid w:val="00EA7760"/>
    <w:rsid w:val="00EB08BD"/>
    <w:rsid w:val="00EB17FB"/>
    <w:rsid w:val="00EB2190"/>
    <w:rsid w:val="00EC1A26"/>
    <w:rsid w:val="00EC294A"/>
    <w:rsid w:val="00EC5A07"/>
    <w:rsid w:val="00ED272D"/>
    <w:rsid w:val="00ED5FB6"/>
    <w:rsid w:val="00ED7005"/>
    <w:rsid w:val="00ED7067"/>
    <w:rsid w:val="00ED7190"/>
    <w:rsid w:val="00EE3372"/>
    <w:rsid w:val="00EE6066"/>
    <w:rsid w:val="00EF0A18"/>
    <w:rsid w:val="00EF4EE0"/>
    <w:rsid w:val="00EF5964"/>
    <w:rsid w:val="00F00440"/>
    <w:rsid w:val="00F06FB4"/>
    <w:rsid w:val="00F112C7"/>
    <w:rsid w:val="00F12E86"/>
    <w:rsid w:val="00F13428"/>
    <w:rsid w:val="00F136B7"/>
    <w:rsid w:val="00F22F0D"/>
    <w:rsid w:val="00F44A8F"/>
    <w:rsid w:val="00F47E98"/>
    <w:rsid w:val="00F501EF"/>
    <w:rsid w:val="00F506A4"/>
    <w:rsid w:val="00F51D38"/>
    <w:rsid w:val="00F55BCB"/>
    <w:rsid w:val="00F56B07"/>
    <w:rsid w:val="00F63555"/>
    <w:rsid w:val="00F63811"/>
    <w:rsid w:val="00F7799A"/>
    <w:rsid w:val="00F83031"/>
    <w:rsid w:val="00F83705"/>
    <w:rsid w:val="00F87FD8"/>
    <w:rsid w:val="00F91037"/>
    <w:rsid w:val="00F92A7C"/>
    <w:rsid w:val="00F9334D"/>
    <w:rsid w:val="00F93899"/>
    <w:rsid w:val="00F957BD"/>
    <w:rsid w:val="00F95C53"/>
    <w:rsid w:val="00F97DF1"/>
    <w:rsid w:val="00FA17F7"/>
    <w:rsid w:val="00FA37F7"/>
    <w:rsid w:val="00FA420B"/>
    <w:rsid w:val="00FB10D6"/>
    <w:rsid w:val="00FB46DD"/>
    <w:rsid w:val="00FB5F7E"/>
    <w:rsid w:val="00FB6817"/>
    <w:rsid w:val="00FB6D39"/>
    <w:rsid w:val="00FC2715"/>
    <w:rsid w:val="00FC315C"/>
    <w:rsid w:val="00FC39EC"/>
    <w:rsid w:val="00FC7CE1"/>
    <w:rsid w:val="00FD1B89"/>
    <w:rsid w:val="00FD5201"/>
    <w:rsid w:val="00FD6531"/>
    <w:rsid w:val="00FD7AEF"/>
    <w:rsid w:val="00FE490F"/>
    <w:rsid w:val="00FE5040"/>
    <w:rsid w:val="00FF1B83"/>
    <w:rsid w:val="00FF1F53"/>
    <w:rsid w:val="00FF2FE8"/>
    <w:rsid w:val="00FF4D41"/>
    <w:rsid w:val="00FF5D4F"/>
    <w:rsid w:val="00FF638A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16C68"/>
  <w15:docId w15:val="{F8BBCB26-5FCA-4024-9E3D-CD49B882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99"/>
    <w:qFormat/>
    <w:rsid w:val="00BD5665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qFormat/>
    <w:rsid w:val="00872155"/>
  </w:style>
  <w:style w:type="character" w:customStyle="1" w:styleId="PagrindinistekstasDiagrama">
    <w:name w:val="Pagrindinis tekstas Diagrama"/>
    <w:basedOn w:val="Numatytasispastraiposriftas"/>
    <w:link w:val="Pagrindinistekstas"/>
    <w:rsid w:val="00872155"/>
    <w:rPr>
      <w:rFonts w:ascii="Georgia" w:hAnsi="Georgia"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872155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72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B3DE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8273E0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363C"/>
    <w:rPr>
      <w:rFonts w:ascii="Segoe UI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647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7CFE"/>
    <w:rPr>
      <w:rFonts w:ascii="Georgia" w:hAnsi="Georgia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47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7CFE"/>
    <w:rPr>
      <w:rFonts w:ascii="Georgia" w:hAnsi="Georgia"/>
      <w:sz w:val="20"/>
      <w:szCs w:val="20"/>
      <w:lang w:val="en-GB"/>
    </w:rPr>
  </w:style>
  <w:style w:type="character" w:styleId="Komentaronuoroda">
    <w:name w:val="annotation reference"/>
    <w:basedOn w:val="Numatytasispastraiposriftas"/>
    <w:uiPriority w:val="99"/>
    <w:unhideWhenUsed/>
    <w:rsid w:val="00CA6D2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A6D23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A6D23"/>
    <w:rPr>
      <w:rFonts w:ascii="Georgia" w:hAnsi="Georgia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A6D2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A6D23"/>
    <w:rPr>
      <w:rFonts w:ascii="Georgia" w:hAnsi="Georgia"/>
      <w:b/>
      <w:bCs/>
      <w:sz w:val="20"/>
      <w:szCs w:val="20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A7577"/>
    <w:pPr>
      <w:spacing w:after="0" w:line="240" w:lineRule="auto"/>
    </w:pPr>
    <w:rPr>
      <w:rFonts w:ascii="Calibr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A7577"/>
    <w:rPr>
      <w:rFonts w:ascii="Calibri" w:hAnsi="Calibri" w:cs="Consolas"/>
      <w:szCs w:val="21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05106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05106"/>
    <w:rPr>
      <w:rFonts w:ascii="Georgia" w:hAnsi="Georgia"/>
      <w:sz w:val="20"/>
      <w:szCs w:val="20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05106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E1CC3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E1CC3"/>
    <w:rPr>
      <w:rFonts w:ascii="Georgia" w:hAnsi="Georgia"/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E1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B411-4BB5-43BF-A15D-F0D9EE47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7715</Words>
  <Characters>4398</Characters>
  <Application>Microsoft Office Word</Application>
  <DocSecurity>0</DocSecurity>
  <Lines>36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Jankunas Raimondas</dc:creator>
  <cp:lastModifiedBy>Jankunas Raimondas</cp:lastModifiedBy>
  <cp:revision>52</cp:revision>
  <cp:lastPrinted>2017-06-20T06:11:00Z</cp:lastPrinted>
  <dcterms:created xsi:type="dcterms:W3CDTF">2017-05-31T05:41:00Z</dcterms:created>
  <dcterms:modified xsi:type="dcterms:W3CDTF">2017-06-22T06:47:00Z</dcterms:modified>
</cp:coreProperties>
</file>