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886" w:rsidRDefault="00C7648E">
      <w:pPr>
        <w:ind w:left="5184"/>
        <w:rPr>
          <w:rFonts w:eastAsia="Calibri"/>
          <w:szCs w:val="24"/>
        </w:rPr>
      </w:pPr>
      <w:r>
        <w:rPr>
          <w:rFonts w:eastAsia="Calibri"/>
          <w:szCs w:val="24"/>
        </w:rPr>
        <w:t>2014–2020 metų Europos Sąjungos fondų</w:t>
      </w:r>
    </w:p>
    <w:p w:rsidR="009E6886" w:rsidRDefault="00C7648E">
      <w:pPr>
        <w:ind w:left="5184"/>
        <w:rPr>
          <w:rFonts w:eastAsia="Calibri"/>
          <w:szCs w:val="24"/>
        </w:rPr>
      </w:pPr>
      <w:r>
        <w:rPr>
          <w:rFonts w:eastAsia="Calibri"/>
          <w:szCs w:val="24"/>
        </w:rPr>
        <w:t>investicijų veiksmų programos 1 pri</w:t>
      </w:r>
      <w:r>
        <w:rPr>
          <w:rFonts w:eastAsia="Calibri"/>
          <w:szCs w:val="24"/>
        </w:rPr>
        <w:t>oriteto</w:t>
      </w:r>
    </w:p>
    <w:p w:rsidR="009E6886" w:rsidRDefault="00C7648E">
      <w:pPr>
        <w:ind w:left="5184"/>
        <w:rPr>
          <w:rFonts w:eastAsia="Calibri"/>
          <w:szCs w:val="24"/>
        </w:rPr>
      </w:pPr>
      <w:r>
        <w:rPr>
          <w:rFonts w:eastAsia="Calibri"/>
          <w:szCs w:val="24"/>
        </w:rPr>
        <w:t>„Mokslinių tyrimų, eksperimentinės plėtros ir</w:t>
      </w:r>
    </w:p>
    <w:p w:rsidR="009E6886" w:rsidRDefault="00C7648E">
      <w:pPr>
        <w:ind w:left="5184"/>
        <w:rPr>
          <w:rFonts w:eastAsia="Calibri"/>
          <w:szCs w:val="24"/>
        </w:rPr>
      </w:pPr>
      <w:r>
        <w:rPr>
          <w:rFonts w:eastAsia="Calibri"/>
          <w:szCs w:val="24"/>
        </w:rPr>
        <w:t xml:space="preserve">inovacijų skatinimas“ </w:t>
      </w:r>
    </w:p>
    <w:p w:rsidR="009E6886" w:rsidRDefault="00C7648E">
      <w:pPr>
        <w:ind w:left="5184"/>
        <w:rPr>
          <w:rFonts w:eastAsia="Calibri"/>
          <w:szCs w:val="24"/>
        </w:rPr>
      </w:pPr>
      <w:r>
        <w:rPr>
          <w:rFonts w:eastAsia="Calibri"/>
          <w:szCs w:val="24"/>
        </w:rPr>
        <w:t>priemonės Nr. 01.2.1-LVPA-T-844</w:t>
      </w:r>
    </w:p>
    <w:p w:rsidR="009E6886" w:rsidRDefault="00C7648E">
      <w:pPr>
        <w:ind w:left="5184"/>
        <w:rPr>
          <w:rFonts w:eastAsia="Calibri"/>
          <w:szCs w:val="24"/>
        </w:rPr>
      </w:pPr>
      <w:r>
        <w:rPr>
          <w:rFonts w:eastAsia="Calibri"/>
          <w:szCs w:val="24"/>
        </w:rPr>
        <w:t>„InoConnect“ projektų finansavimo sąlygų</w:t>
      </w:r>
    </w:p>
    <w:p w:rsidR="009E6886" w:rsidRDefault="00C7648E">
      <w:pPr>
        <w:ind w:left="5184"/>
        <w:rPr>
          <w:rFonts w:eastAsia="Calibri"/>
          <w:szCs w:val="24"/>
        </w:rPr>
      </w:pPr>
      <w:r>
        <w:rPr>
          <w:rFonts w:eastAsia="Calibri"/>
          <w:szCs w:val="24"/>
        </w:rPr>
        <w:t xml:space="preserve">aprašo </w:t>
      </w:r>
      <w:r>
        <w:rPr>
          <w:rFonts w:eastAsia="Calibri"/>
          <w:szCs w:val="24"/>
        </w:rPr>
        <w:br/>
        <w:t>4 priedas</w:t>
      </w:r>
    </w:p>
    <w:p w:rsidR="009E6886" w:rsidRDefault="009E6886">
      <w:pPr>
        <w:ind w:firstLine="851"/>
        <w:jc w:val="center"/>
        <w:rPr>
          <w:b/>
          <w:caps/>
          <w:szCs w:val="24"/>
        </w:rPr>
      </w:pPr>
    </w:p>
    <w:p w:rsidR="009E6886" w:rsidRDefault="00C7648E">
      <w:pPr>
        <w:widowControl w:val="0"/>
        <w:tabs>
          <w:tab w:val="left" w:pos="1296"/>
          <w:tab w:val="center" w:pos="4819"/>
          <w:tab w:val="right" w:pos="9638"/>
        </w:tabs>
        <w:jc w:val="center"/>
        <w:textAlignment w:val="baseline"/>
        <w:rPr>
          <w:b/>
          <w:caps/>
          <w:szCs w:val="24"/>
        </w:rPr>
      </w:pPr>
      <w:r>
        <w:rPr>
          <w:b/>
          <w:caps/>
          <w:szCs w:val="24"/>
        </w:rPr>
        <w:t xml:space="preserve">INFORMACIJa APIE GAUTĄ VALSTYBĖS PAGALBĄ ir DUOMENIS, reikalingus projekto atitikČIAI </w:t>
      </w:r>
      <w:r>
        <w:rPr>
          <w:b/>
          <w:kern w:val="16"/>
          <w:szCs w:val="24"/>
        </w:rPr>
        <w:t>2</w:t>
      </w:r>
      <w:r>
        <w:rPr>
          <w:b/>
          <w:kern w:val="16"/>
          <w:szCs w:val="24"/>
        </w:rPr>
        <w:t xml:space="preserve">014–2020 METŲ EUROPOS SĄJUNGOS FONDŲ INVESTICIJŲ VEIKSMŲ PROGRAMOS </w:t>
      </w:r>
      <w:r>
        <w:rPr>
          <w:b/>
          <w:szCs w:val="24"/>
        </w:rPr>
        <w:t>1 PRIORITETO „MOKSLINIŲ TYRIMŲ, EKSPERIMENTINĖS PLĖTROS IR INOVACIJŲ SKATINIMAS“ PRIEMONĖS NR.</w:t>
      </w:r>
      <w:r>
        <w:rPr>
          <w:szCs w:val="24"/>
          <w:lang w:eastAsia="lt-LT"/>
        </w:rPr>
        <w:t xml:space="preserve"> </w:t>
      </w:r>
      <w:r>
        <w:rPr>
          <w:b/>
          <w:szCs w:val="24"/>
          <w:lang w:eastAsia="lt-LT"/>
        </w:rPr>
        <w:t xml:space="preserve">01.2.1-LVPA-T-844 </w:t>
      </w:r>
      <w:r>
        <w:rPr>
          <w:rFonts w:eastAsia="Calibri"/>
          <w:b/>
          <w:szCs w:val="24"/>
          <w:lang w:eastAsia="lt-LT"/>
        </w:rPr>
        <w:t>„INOCONNECT</w:t>
      </w:r>
      <w:r>
        <w:rPr>
          <w:b/>
          <w:szCs w:val="24"/>
          <w:lang w:eastAsia="lt-LT"/>
        </w:rPr>
        <w:t>“</w:t>
      </w:r>
      <w:r>
        <w:rPr>
          <w:b/>
          <w:szCs w:val="24"/>
        </w:rPr>
        <w:t xml:space="preserve"> PROJEKTŲ FINANSAVIMO SĄLYGŲ APRAŠO </w:t>
      </w:r>
      <w:r>
        <w:rPr>
          <w:b/>
          <w:caps/>
          <w:szCs w:val="24"/>
        </w:rPr>
        <w:t xml:space="preserve">NUOSTATOMS IR projektų </w:t>
      </w:r>
      <w:r>
        <w:rPr>
          <w:b/>
          <w:caps/>
          <w:szCs w:val="24"/>
        </w:rPr>
        <w:t>atrankos kriterijams įvertinti</w:t>
      </w:r>
    </w:p>
    <w:p w:rsidR="009E6886" w:rsidRDefault="009E6886">
      <w:pPr>
        <w:jc w:val="both"/>
        <w:rPr>
          <w:b/>
          <w:caps/>
          <w:szCs w:val="24"/>
        </w:rPr>
      </w:pPr>
    </w:p>
    <w:p w:rsidR="009E6886" w:rsidRDefault="00C7648E">
      <w:pPr>
        <w:tabs>
          <w:tab w:val="left" w:pos="0"/>
        </w:tabs>
        <w:ind w:firstLine="709"/>
        <w:jc w:val="both"/>
        <w:rPr>
          <w:b/>
          <w:szCs w:val="24"/>
        </w:rPr>
      </w:pPr>
      <w:r>
        <w:rPr>
          <w:b/>
          <w:szCs w:val="24"/>
        </w:rPr>
        <w:t xml:space="preserve">1. Pareiškėjų vykdomos veiklos ir projekto veiklos priskiriamos Ekonominės veiklos rūšių klasifikatoriui (EVRK 2 red.), patvirtintam Statistikos departamento </w:t>
      </w:r>
      <w:r>
        <w:rPr>
          <w:rFonts w:eastAsia="Calibri"/>
          <w:b/>
          <w:szCs w:val="24"/>
        </w:rPr>
        <w:t xml:space="preserve">prie Lietuvos Respublikos Vyriausybės </w:t>
      </w:r>
      <w:r>
        <w:rPr>
          <w:b/>
          <w:szCs w:val="24"/>
        </w:rPr>
        <w:t>generalinio direktoriaus 200</w:t>
      </w:r>
      <w:r>
        <w:rPr>
          <w:b/>
          <w:szCs w:val="24"/>
        </w:rPr>
        <w:t>7 m. spalio 31 d. įsakymu Nr. DĮ-226 „Dėl Ekonominės veiklos rūšių klasifikatoriaus patvirtinimo“ (toliau – EVRK 2 red.).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3"/>
        <w:gridCol w:w="3405"/>
      </w:tblGrid>
      <w:tr w:rsidR="009E6886">
        <w:tc>
          <w:tcPr>
            <w:tcW w:w="6513" w:type="dxa"/>
            <w:shd w:val="pct10" w:color="auto" w:fill="auto"/>
          </w:tcPr>
          <w:p w:rsidR="009E6886" w:rsidRDefault="00C7648E">
            <w:pPr>
              <w:tabs>
                <w:tab w:val="left" w:pos="426"/>
              </w:tabs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 xml:space="preserve">1.1. Pareiškėjo vykdoma veikla (-os) pagal EVRK 2 red. </w:t>
            </w:r>
          </w:p>
        </w:tc>
        <w:tc>
          <w:tcPr>
            <w:tcW w:w="3405" w:type="dxa"/>
          </w:tcPr>
          <w:p w:rsidR="009E6886" w:rsidRDefault="009E6886">
            <w:pPr>
              <w:tabs>
                <w:tab w:val="left" w:pos="426"/>
              </w:tabs>
              <w:ind w:firstLine="851"/>
              <w:jc w:val="both"/>
              <w:rPr>
                <w:b/>
                <w:szCs w:val="24"/>
              </w:rPr>
            </w:pPr>
          </w:p>
        </w:tc>
      </w:tr>
      <w:tr w:rsidR="009E6886">
        <w:trPr>
          <w:trHeight w:val="1128"/>
        </w:trPr>
        <w:tc>
          <w:tcPr>
            <w:tcW w:w="6513" w:type="dxa"/>
            <w:tcBorders>
              <w:bottom w:val="single" w:sz="4" w:space="0" w:color="auto"/>
            </w:tcBorders>
            <w:shd w:val="pct10" w:color="auto" w:fill="auto"/>
          </w:tcPr>
          <w:p w:rsidR="009E6886" w:rsidRDefault="00C7648E">
            <w:pPr>
              <w:tabs>
                <w:tab w:val="left" w:pos="426"/>
              </w:tabs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 xml:space="preserve">1.2. Pareiškėjo veikla (-os) pagal EVRK 2 red., kuriai (-ioms) vykdyti bus naudojami projekto rezultatai (jei projekto rezultatai tenka kelioms veikloms, reikia nurodyti rezultatų padalijimą </w:t>
            </w:r>
            <w:r>
              <w:rPr>
                <w:szCs w:val="24"/>
              </w:rPr>
              <w:br/>
              <w:t xml:space="preserve">procentais) </w:t>
            </w:r>
          </w:p>
        </w:tc>
        <w:tc>
          <w:tcPr>
            <w:tcW w:w="3405" w:type="dxa"/>
            <w:tcBorders>
              <w:bottom w:val="single" w:sz="4" w:space="0" w:color="auto"/>
            </w:tcBorders>
          </w:tcPr>
          <w:p w:rsidR="009E6886" w:rsidRDefault="009E6886">
            <w:pPr>
              <w:tabs>
                <w:tab w:val="left" w:pos="426"/>
              </w:tabs>
              <w:ind w:firstLine="851"/>
              <w:jc w:val="both"/>
              <w:rPr>
                <w:b/>
                <w:szCs w:val="24"/>
              </w:rPr>
            </w:pPr>
          </w:p>
        </w:tc>
      </w:tr>
    </w:tbl>
    <w:p w:rsidR="009E6886" w:rsidRDefault="009E6886">
      <w:pPr>
        <w:ind w:firstLine="851"/>
        <w:jc w:val="both"/>
        <w:rPr>
          <w:b/>
          <w:caps/>
          <w:szCs w:val="24"/>
        </w:rPr>
      </w:pPr>
    </w:p>
    <w:p w:rsidR="009E6886" w:rsidRDefault="00C7648E">
      <w:pPr>
        <w:widowControl w:val="0"/>
        <w:tabs>
          <w:tab w:val="left" w:pos="0"/>
          <w:tab w:val="left" w:pos="426"/>
        </w:tabs>
        <w:ind w:firstLine="709"/>
        <w:contextualSpacing/>
        <w:jc w:val="both"/>
        <w:textAlignment w:val="baseline"/>
        <w:rPr>
          <w:b/>
          <w:szCs w:val="24"/>
          <w:lang w:eastAsia="lt-LT"/>
        </w:rPr>
      </w:pPr>
      <w:r>
        <w:rPr>
          <w:b/>
          <w:caps/>
          <w:szCs w:val="24"/>
        </w:rPr>
        <w:t xml:space="preserve">2. </w:t>
      </w:r>
      <w:r>
        <w:rPr>
          <w:b/>
          <w:szCs w:val="24"/>
          <w:lang w:eastAsia="lt-LT"/>
        </w:rPr>
        <w:t xml:space="preserve">Gauta (planuojama gauti) valstybės pagalba </w:t>
      </w:r>
      <w:r>
        <w:rPr>
          <w:b/>
          <w:szCs w:val="24"/>
          <w:lang w:eastAsia="lt-LT"/>
        </w:rPr>
        <w:t>projektui pagal pareiškėją.</w:t>
      </w:r>
    </w:p>
    <w:tbl>
      <w:tblPr>
        <w:tblW w:w="967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6"/>
        <w:gridCol w:w="1957"/>
        <w:gridCol w:w="1135"/>
        <w:gridCol w:w="1276"/>
        <w:gridCol w:w="1844"/>
        <w:gridCol w:w="1447"/>
      </w:tblGrid>
      <w:tr w:rsidR="009E6886">
        <w:trPr>
          <w:trHeight w:val="374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E6886" w:rsidRDefault="009E6886">
            <w:pPr>
              <w:widowControl w:val="0"/>
              <w:tabs>
                <w:tab w:val="left" w:pos="0"/>
                <w:tab w:val="left" w:pos="426"/>
              </w:tabs>
              <w:ind w:firstLine="709"/>
              <w:contextualSpacing/>
              <w:jc w:val="both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E6886" w:rsidRDefault="00C7648E">
            <w:pPr>
              <w:widowControl w:val="0"/>
              <w:tabs>
                <w:tab w:val="left" w:pos="0"/>
                <w:tab w:val="left" w:pos="426"/>
              </w:tabs>
              <w:contextualSpacing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Planuojama gauti valstybės pagalbos suma (</w:t>
            </w:r>
            <w:r>
              <w:rPr>
                <w:i/>
                <w:szCs w:val="24"/>
                <w:lang w:eastAsia="lt-LT"/>
              </w:rPr>
              <w:t>ne</w:t>
            </w:r>
            <w:r>
              <w:rPr>
                <w:szCs w:val="24"/>
                <w:lang w:eastAsia="lt-LT"/>
              </w:rPr>
              <w:t xml:space="preserve"> </w:t>
            </w:r>
            <w:r>
              <w:rPr>
                <w:i/>
                <w:szCs w:val="24"/>
                <w:lang w:eastAsia="lt-LT"/>
              </w:rPr>
              <w:t>iš Lietuvos Respublikos ekonomikos ir inovacijų ministerijos</w:t>
            </w:r>
            <w:r>
              <w:rPr>
                <w:szCs w:val="24"/>
                <w:lang w:eastAsia="lt-LT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E6886" w:rsidRDefault="00C7648E">
            <w:pPr>
              <w:widowControl w:val="0"/>
              <w:tabs>
                <w:tab w:val="left" w:pos="0"/>
                <w:tab w:val="left" w:pos="426"/>
              </w:tabs>
              <w:contextualSpacing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Gautos valstybės pagalbos suma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E6886" w:rsidRDefault="00C7648E">
            <w:pPr>
              <w:widowControl w:val="0"/>
              <w:tabs>
                <w:tab w:val="left" w:pos="0"/>
                <w:tab w:val="left" w:pos="426"/>
              </w:tabs>
              <w:contextualSpacing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Valstybės pagalbos teikėjas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E6886" w:rsidRDefault="00C7648E">
            <w:pPr>
              <w:widowControl w:val="0"/>
              <w:tabs>
                <w:tab w:val="left" w:pos="0"/>
                <w:tab w:val="left" w:pos="426"/>
              </w:tabs>
              <w:contextualSpacing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Informacija apie valstybės pagalbos suteikimą, teikimo pagrin</w:t>
            </w:r>
            <w:r>
              <w:rPr>
                <w:szCs w:val="24"/>
                <w:lang w:eastAsia="lt-LT"/>
              </w:rPr>
              <w:t>dą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E6886" w:rsidRDefault="00C7648E">
            <w:pPr>
              <w:widowControl w:val="0"/>
              <w:tabs>
                <w:tab w:val="left" w:pos="0"/>
                <w:tab w:val="left" w:pos="426"/>
              </w:tabs>
              <w:contextualSpacing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Valstybės pagalbos suteikimo data</w:t>
            </w:r>
          </w:p>
        </w:tc>
      </w:tr>
      <w:tr w:rsidR="009E6886">
        <w:trPr>
          <w:trHeight w:val="374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6886" w:rsidRDefault="00C7648E">
            <w:pPr>
              <w:widowControl w:val="0"/>
              <w:tabs>
                <w:tab w:val="left" w:pos="0"/>
                <w:tab w:val="left" w:pos="426"/>
              </w:tabs>
              <w:ind w:hanging="108"/>
              <w:contextualSpacing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2.1. Kita valstybės pagalba projektui finansuoti (pvz., valstybės suteiktos garantijos, mikrokreditai, garantuotų paskolų palūkanų kompensavimas, kita)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86" w:rsidRDefault="009E6886">
            <w:pPr>
              <w:widowControl w:val="0"/>
              <w:tabs>
                <w:tab w:val="left" w:pos="0"/>
                <w:tab w:val="left" w:pos="426"/>
              </w:tabs>
              <w:ind w:firstLine="709"/>
              <w:contextualSpacing/>
              <w:jc w:val="both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86" w:rsidRDefault="009E6886">
            <w:pPr>
              <w:widowControl w:val="0"/>
              <w:tabs>
                <w:tab w:val="left" w:pos="0"/>
                <w:tab w:val="left" w:pos="426"/>
              </w:tabs>
              <w:ind w:firstLine="709"/>
              <w:contextualSpacing/>
              <w:jc w:val="both"/>
              <w:textAlignment w:val="baseline"/>
              <w:rPr>
                <w:b/>
                <w:szCs w:val="24"/>
                <w:lang w:eastAsia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86" w:rsidRDefault="009E6886">
            <w:pPr>
              <w:widowControl w:val="0"/>
              <w:tabs>
                <w:tab w:val="left" w:pos="0"/>
                <w:tab w:val="left" w:pos="426"/>
              </w:tabs>
              <w:ind w:firstLine="709"/>
              <w:contextualSpacing/>
              <w:jc w:val="both"/>
              <w:textAlignment w:val="baseline"/>
              <w:rPr>
                <w:b/>
                <w:szCs w:val="24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86" w:rsidRDefault="009E6886">
            <w:pPr>
              <w:widowControl w:val="0"/>
              <w:tabs>
                <w:tab w:val="left" w:pos="0"/>
                <w:tab w:val="left" w:pos="426"/>
              </w:tabs>
              <w:ind w:firstLine="709"/>
              <w:contextualSpacing/>
              <w:jc w:val="both"/>
              <w:textAlignment w:val="baseline"/>
              <w:rPr>
                <w:b/>
                <w:szCs w:val="24"/>
                <w:lang w:eastAsia="lt-LT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86" w:rsidRDefault="009E6886">
            <w:pPr>
              <w:widowControl w:val="0"/>
              <w:tabs>
                <w:tab w:val="left" w:pos="0"/>
                <w:tab w:val="left" w:pos="426"/>
              </w:tabs>
              <w:ind w:firstLine="709"/>
              <w:contextualSpacing/>
              <w:jc w:val="both"/>
              <w:textAlignment w:val="baseline"/>
              <w:rPr>
                <w:b/>
                <w:szCs w:val="24"/>
                <w:lang w:eastAsia="lt-LT"/>
              </w:rPr>
            </w:pPr>
          </w:p>
        </w:tc>
      </w:tr>
      <w:tr w:rsidR="009E6886">
        <w:trPr>
          <w:trHeight w:val="374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6886" w:rsidRDefault="00C7648E">
            <w:pPr>
              <w:widowControl w:val="0"/>
              <w:tabs>
                <w:tab w:val="left" w:pos="0"/>
                <w:tab w:val="left" w:pos="426"/>
              </w:tabs>
              <w:ind w:firstLine="34"/>
              <w:contextualSpacing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2.2. Numatoma gauti </w:t>
            </w:r>
            <w:r>
              <w:rPr>
                <w:i/>
                <w:iCs/>
                <w:szCs w:val="24"/>
                <w:lang w:eastAsia="lt-LT"/>
              </w:rPr>
              <w:t>de minimis</w:t>
            </w:r>
            <w:r>
              <w:rPr>
                <w:szCs w:val="24"/>
                <w:lang w:eastAsia="lt-LT"/>
              </w:rPr>
              <w:t xml:space="preserve"> pagalba projektui įgyvendinti (nurodyti išlaidas, kurioms </w:t>
            </w:r>
            <w:r>
              <w:rPr>
                <w:szCs w:val="24"/>
                <w:lang w:eastAsia="lt-LT"/>
              </w:rPr>
              <w:lastRenderedPageBreak/>
              <w:t xml:space="preserve">numatoma gauti </w:t>
            </w:r>
            <w:r>
              <w:rPr>
                <w:i/>
                <w:szCs w:val="24"/>
                <w:lang w:eastAsia="lt-LT"/>
              </w:rPr>
              <w:t>de minimis</w:t>
            </w:r>
            <w:r>
              <w:rPr>
                <w:szCs w:val="24"/>
                <w:lang w:eastAsia="lt-LT"/>
              </w:rPr>
              <w:t xml:space="preserve"> pagalbą)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86" w:rsidRDefault="009E6886">
            <w:pPr>
              <w:widowControl w:val="0"/>
              <w:tabs>
                <w:tab w:val="left" w:pos="0"/>
                <w:tab w:val="left" w:pos="426"/>
              </w:tabs>
              <w:ind w:firstLine="709"/>
              <w:contextualSpacing/>
              <w:jc w:val="both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86" w:rsidRDefault="009E6886">
            <w:pPr>
              <w:widowControl w:val="0"/>
              <w:tabs>
                <w:tab w:val="left" w:pos="0"/>
                <w:tab w:val="left" w:pos="426"/>
              </w:tabs>
              <w:ind w:firstLine="709"/>
              <w:contextualSpacing/>
              <w:jc w:val="both"/>
              <w:textAlignment w:val="baseline"/>
              <w:rPr>
                <w:b/>
                <w:szCs w:val="24"/>
                <w:lang w:eastAsia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86" w:rsidRDefault="009E6886">
            <w:pPr>
              <w:widowControl w:val="0"/>
              <w:tabs>
                <w:tab w:val="left" w:pos="0"/>
                <w:tab w:val="left" w:pos="426"/>
              </w:tabs>
              <w:ind w:firstLine="709"/>
              <w:contextualSpacing/>
              <w:jc w:val="both"/>
              <w:textAlignment w:val="baseline"/>
              <w:rPr>
                <w:b/>
                <w:szCs w:val="24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86" w:rsidRDefault="009E6886">
            <w:pPr>
              <w:widowControl w:val="0"/>
              <w:tabs>
                <w:tab w:val="left" w:pos="0"/>
                <w:tab w:val="left" w:pos="426"/>
              </w:tabs>
              <w:ind w:firstLine="709"/>
              <w:contextualSpacing/>
              <w:jc w:val="both"/>
              <w:textAlignment w:val="baseline"/>
              <w:rPr>
                <w:b/>
                <w:szCs w:val="24"/>
                <w:lang w:eastAsia="lt-LT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86" w:rsidRDefault="009E6886">
            <w:pPr>
              <w:widowControl w:val="0"/>
              <w:tabs>
                <w:tab w:val="left" w:pos="0"/>
                <w:tab w:val="left" w:pos="426"/>
              </w:tabs>
              <w:ind w:firstLine="709"/>
              <w:contextualSpacing/>
              <w:jc w:val="both"/>
              <w:textAlignment w:val="baseline"/>
              <w:rPr>
                <w:b/>
                <w:szCs w:val="24"/>
                <w:lang w:eastAsia="lt-LT"/>
              </w:rPr>
            </w:pPr>
          </w:p>
        </w:tc>
      </w:tr>
    </w:tbl>
    <w:p w:rsidR="009E6886" w:rsidRDefault="009E6886"/>
    <w:p w:rsidR="009E6886" w:rsidRDefault="00C7648E">
      <w:pPr>
        <w:ind w:firstLine="851"/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3. Projektas priskiriamas Prioritetinių mokslinių tyrimų ir eksperimentinės plėtros ir inovacijų raidos (sumaniosios specializacijos) prioritetų įgyvendinimo programoje, patvirtintoje Lietuvos Respublikos Vyriausybės 2014 m. balandžio 30 d. nutarimu Nr. 41</w:t>
      </w:r>
      <w:r>
        <w:rPr>
          <w:b/>
          <w:szCs w:val="24"/>
          <w:lang w:eastAsia="lt-LT"/>
        </w:rPr>
        <w:t xml:space="preserve">1 „Dėl Prioritetinių mokslinių tyrimų ir eksperimentinės plėtros ir inovacijų raidos (sumaniosios specializacijos) prioritetų įgyvendinimo programos patvirtinimo“, nurodytam prioritetui ir įgyvendinimo tematikai </w:t>
      </w:r>
      <w:r>
        <w:rPr>
          <w:szCs w:val="24"/>
          <w:lang w:eastAsia="lt-LT"/>
        </w:rPr>
        <w:t>(taikoma, nustatant projekto atitiktį 2014–2</w:t>
      </w:r>
      <w:r>
        <w:rPr>
          <w:szCs w:val="24"/>
          <w:lang w:eastAsia="lt-LT"/>
        </w:rPr>
        <w:t>020 metų Europos Sąjungos fondų investicijų veiksmų programos 1 prioriteto „Mokslinių tyrimų, eksperimentinės plėtros ir inovacijų skatinimas“ priemonės Nr. 01.2.1-LVPA-T-844 „InoConnect“ projektų finansavimo sąlygų aprašo (toliau – Aprašas) 16.2 papunkčio</w:t>
      </w:r>
      <w:r>
        <w:rPr>
          <w:szCs w:val="24"/>
          <w:lang w:eastAsia="lt-LT"/>
        </w:rPr>
        <w:t xml:space="preserve"> nuostatoms)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3"/>
        <w:gridCol w:w="1116"/>
        <w:gridCol w:w="5460"/>
        <w:gridCol w:w="1060"/>
      </w:tblGrid>
      <w:tr w:rsidR="009E6886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E6886" w:rsidRDefault="00C7648E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Mokslinių tyrimų ir (ar) eksperimentinės plėtros ir inovacijų (toliau – MTEPI) prioritetas </w:t>
            </w:r>
            <w:r>
              <w:rPr>
                <w:i/>
                <w:szCs w:val="24"/>
                <w:lang w:eastAsia="lt-LT"/>
              </w:rPr>
              <w:t>(pasirenkamas vienas variantas)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E6886" w:rsidRDefault="00C7648E">
            <w:pPr>
              <w:ind w:firstLine="851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MTEPI prioriteto įgyvendinimo tematika </w:t>
            </w:r>
          </w:p>
          <w:p w:rsidR="009E6886" w:rsidRDefault="00C7648E">
            <w:pPr>
              <w:ind w:firstLine="851"/>
              <w:jc w:val="both"/>
              <w:rPr>
                <w:szCs w:val="24"/>
                <w:lang w:eastAsia="lt-LT"/>
              </w:rPr>
            </w:pPr>
            <w:r>
              <w:rPr>
                <w:i/>
                <w:szCs w:val="24"/>
                <w:lang w:eastAsia="lt-LT"/>
              </w:rPr>
              <w:t>(pasirenkamas vienas variantas)</w:t>
            </w:r>
          </w:p>
        </w:tc>
      </w:tr>
      <w:tr w:rsidR="009E6886"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86" w:rsidRDefault="00C7648E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3.1. Energetika ir tvari aplinka 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86" w:rsidRDefault="00C7648E">
            <w:pPr>
              <w:ind w:right="-99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□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86" w:rsidRDefault="00C7648E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3.1.1. </w:t>
            </w:r>
            <w:r>
              <w:rPr>
                <w:szCs w:val="24"/>
                <w:lang w:eastAsia="lt-LT"/>
              </w:rPr>
              <w:t>Paskirstytojo ir centralizuoto generavimo, tinklų ir efektyvaus energijos vartojimo sistemos sąveikumo stiprinimas.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86" w:rsidRDefault="00C7648E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□</w:t>
            </w:r>
          </w:p>
        </w:tc>
      </w:tr>
      <w:tr w:rsidR="009E68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86" w:rsidRDefault="009E6886">
            <w:pPr>
              <w:ind w:firstLine="851"/>
              <w:jc w:val="both"/>
              <w:rPr>
                <w:szCs w:val="24"/>
                <w:lang w:eastAsia="lt-LT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86" w:rsidRDefault="009E6886">
            <w:pPr>
              <w:ind w:firstLine="851"/>
              <w:jc w:val="both"/>
              <w:rPr>
                <w:szCs w:val="24"/>
                <w:lang w:eastAsia="lt-LT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86" w:rsidRDefault="00C7648E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3.1.2. Esamų ir naujų galutinių vartotojų poreikių tenkinimas, energijos vartojimo efektyvumo, išmanumo stiprinimas.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86" w:rsidRDefault="00C7648E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□</w:t>
            </w:r>
          </w:p>
        </w:tc>
      </w:tr>
      <w:tr w:rsidR="009E68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86" w:rsidRDefault="009E6886">
            <w:pPr>
              <w:ind w:firstLine="851"/>
              <w:jc w:val="both"/>
              <w:rPr>
                <w:szCs w:val="24"/>
                <w:lang w:eastAsia="lt-LT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86" w:rsidRDefault="009E6886">
            <w:pPr>
              <w:ind w:firstLine="851"/>
              <w:jc w:val="both"/>
              <w:rPr>
                <w:szCs w:val="24"/>
                <w:lang w:eastAsia="lt-LT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86" w:rsidRDefault="00C7648E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3.1.3. </w:t>
            </w:r>
            <w:r>
              <w:rPr>
                <w:szCs w:val="24"/>
                <w:lang w:eastAsia="lt-LT"/>
              </w:rPr>
              <w:t>Atsinaujinančiųjų biomasės ir saulės energijos išteklių panaudojimo ir atliekų perdirbimo energijai gauti plėtra.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86" w:rsidRDefault="00C7648E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□</w:t>
            </w:r>
          </w:p>
        </w:tc>
      </w:tr>
      <w:tr w:rsidR="009E6886"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86" w:rsidRDefault="00C7648E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3.2. Sveikatos technologijos ir biotechnologijos 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86" w:rsidRDefault="00C7648E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□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86" w:rsidRDefault="00C7648E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3.2.1. Molekulinės technologijos medicinai ir biofarmacijai.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86" w:rsidRDefault="00C7648E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□</w:t>
            </w:r>
          </w:p>
        </w:tc>
      </w:tr>
      <w:tr w:rsidR="009E68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86" w:rsidRDefault="009E6886">
            <w:pPr>
              <w:ind w:firstLine="851"/>
              <w:rPr>
                <w:szCs w:val="24"/>
                <w:lang w:eastAsia="lt-LT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86" w:rsidRDefault="009E6886">
            <w:pPr>
              <w:ind w:firstLine="851"/>
              <w:jc w:val="both"/>
              <w:rPr>
                <w:szCs w:val="24"/>
                <w:lang w:eastAsia="lt-LT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86" w:rsidRDefault="00C7648E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3.2.2. Pažangios </w:t>
            </w:r>
            <w:r>
              <w:rPr>
                <w:szCs w:val="24"/>
                <w:lang w:eastAsia="lt-LT"/>
              </w:rPr>
              <w:t>taikomosios technologijos asmens ir visuomenės sveikatai.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86" w:rsidRDefault="00C7648E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□</w:t>
            </w:r>
          </w:p>
        </w:tc>
      </w:tr>
      <w:tr w:rsidR="009E68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86" w:rsidRDefault="009E6886">
            <w:pPr>
              <w:ind w:firstLine="851"/>
              <w:rPr>
                <w:szCs w:val="24"/>
                <w:lang w:eastAsia="lt-LT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86" w:rsidRDefault="009E6886">
            <w:pPr>
              <w:ind w:firstLine="851"/>
              <w:jc w:val="both"/>
              <w:rPr>
                <w:szCs w:val="24"/>
                <w:lang w:eastAsia="lt-LT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86" w:rsidRDefault="00C7648E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3.2.3. Pažangi medicinos inžinerija ankstyvai diagnostikai ir gydymui.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86" w:rsidRDefault="00C7648E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□</w:t>
            </w:r>
          </w:p>
        </w:tc>
      </w:tr>
      <w:tr w:rsidR="009E6886"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86" w:rsidRDefault="00C7648E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3.3. Agroinovacijos ir maisto technologijos 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86" w:rsidRDefault="00C7648E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□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86" w:rsidRDefault="00C7648E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3.3.1. Tvarūs agrobiologiniai ištekliai ir saugus maistas.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86" w:rsidRDefault="00C7648E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□</w:t>
            </w:r>
          </w:p>
        </w:tc>
      </w:tr>
      <w:tr w:rsidR="009E68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86" w:rsidRDefault="009E6886">
            <w:pPr>
              <w:ind w:firstLine="851"/>
              <w:rPr>
                <w:szCs w:val="24"/>
                <w:lang w:eastAsia="lt-LT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86" w:rsidRDefault="009E6886">
            <w:pPr>
              <w:ind w:firstLine="851"/>
              <w:jc w:val="both"/>
              <w:rPr>
                <w:szCs w:val="24"/>
                <w:lang w:eastAsia="lt-LT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86" w:rsidRDefault="00C7648E">
            <w:pPr>
              <w:ind w:firstLine="851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3.3.2. </w:t>
            </w:r>
            <w:r>
              <w:rPr>
                <w:szCs w:val="24"/>
                <w:lang w:eastAsia="lt-LT"/>
              </w:rPr>
              <w:t>Beatliekis biožaliavų perdirbimas į vertingus komponentus.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86" w:rsidRDefault="00C7648E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□</w:t>
            </w:r>
          </w:p>
        </w:tc>
      </w:tr>
      <w:tr w:rsidR="009E6886"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86" w:rsidRDefault="00C7648E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3.4. Nauji gamybos procesai, medžiagos ir technologijos 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86" w:rsidRDefault="00C7648E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□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86" w:rsidRDefault="00C7648E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3.4.1. Fotoninės ir lazerinės technologijos.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86" w:rsidRDefault="00C7648E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□</w:t>
            </w:r>
          </w:p>
        </w:tc>
      </w:tr>
      <w:tr w:rsidR="009E68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86" w:rsidRDefault="009E6886">
            <w:pPr>
              <w:ind w:firstLine="851"/>
              <w:rPr>
                <w:szCs w:val="24"/>
                <w:lang w:eastAsia="lt-LT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86" w:rsidRDefault="009E6886">
            <w:pPr>
              <w:ind w:firstLine="851"/>
              <w:jc w:val="both"/>
              <w:rPr>
                <w:szCs w:val="24"/>
                <w:lang w:eastAsia="lt-LT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86" w:rsidRDefault="00C7648E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3.4.2. Pažangiosios medžiagos ir konstrukcijos.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86" w:rsidRDefault="00C7648E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□</w:t>
            </w:r>
          </w:p>
        </w:tc>
      </w:tr>
      <w:tr w:rsidR="009E68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86" w:rsidRDefault="009E6886">
            <w:pPr>
              <w:ind w:firstLine="851"/>
              <w:rPr>
                <w:szCs w:val="24"/>
                <w:lang w:eastAsia="lt-LT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86" w:rsidRDefault="009E6886">
            <w:pPr>
              <w:ind w:firstLine="851"/>
              <w:jc w:val="both"/>
              <w:rPr>
                <w:szCs w:val="24"/>
                <w:lang w:eastAsia="lt-LT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86" w:rsidRDefault="00C7648E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3.4.3. Lanksčios produktų kūrimo ir gamybos technologijos.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86" w:rsidRDefault="00C7648E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□</w:t>
            </w:r>
          </w:p>
        </w:tc>
      </w:tr>
      <w:tr w:rsidR="009E6886"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86" w:rsidRDefault="00C7648E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3.5. Išmanusis, netaršus, susietas transportas 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86" w:rsidRDefault="00C7648E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□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86" w:rsidRDefault="00C7648E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3.5.1. Išmaniosios transporto sistemos.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86" w:rsidRDefault="00C7648E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□</w:t>
            </w:r>
          </w:p>
        </w:tc>
      </w:tr>
      <w:tr w:rsidR="009E68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86" w:rsidRDefault="009E6886">
            <w:pPr>
              <w:ind w:firstLine="851"/>
              <w:rPr>
                <w:szCs w:val="24"/>
                <w:lang w:eastAsia="lt-LT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86" w:rsidRDefault="009E6886">
            <w:pPr>
              <w:ind w:firstLine="851"/>
              <w:jc w:val="both"/>
              <w:rPr>
                <w:szCs w:val="24"/>
                <w:lang w:eastAsia="lt-LT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86" w:rsidRDefault="00C7648E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3.5.2. Tarptautinių transporto koridorių valdymo ir transporto rūšių integracijos technologijos </w:t>
            </w:r>
            <w:r>
              <w:rPr>
                <w:szCs w:val="24"/>
                <w:lang w:eastAsia="lt-LT"/>
              </w:rPr>
              <w:t>(modeliai).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86" w:rsidRDefault="00C7648E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□</w:t>
            </w:r>
          </w:p>
        </w:tc>
      </w:tr>
      <w:tr w:rsidR="009E6886"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86" w:rsidRDefault="00C7648E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3.6. Informacinės ir ryšių technologijos 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86" w:rsidRDefault="00C7648E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□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86" w:rsidRDefault="00C7648E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3.6.1. Dirbtinis intelektas, didieji ir paskirstytieji duomenys.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86" w:rsidRDefault="00C7648E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□</w:t>
            </w:r>
          </w:p>
        </w:tc>
      </w:tr>
      <w:tr w:rsidR="009E68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86" w:rsidRDefault="009E6886">
            <w:pPr>
              <w:ind w:firstLine="851"/>
              <w:rPr>
                <w:szCs w:val="24"/>
                <w:lang w:eastAsia="lt-LT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86" w:rsidRDefault="009E6886">
            <w:pPr>
              <w:ind w:firstLine="851"/>
              <w:jc w:val="both"/>
              <w:rPr>
                <w:szCs w:val="24"/>
                <w:lang w:eastAsia="lt-LT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86" w:rsidRDefault="00C7648E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3.6.2. Daiktų internetas.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86" w:rsidRDefault="00C7648E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□</w:t>
            </w:r>
          </w:p>
        </w:tc>
      </w:tr>
      <w:tr w:rsidR="009E68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86" w:rsidRDefault="009E6886">
            <w:pPr>
              <w:ind w:firstLine="851"/>
              <w:rPr>
                <w:szCs w:val="24"/>
                <w:lang w:eastAsia="lt-LT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86" w:rsidRDefault="009E6886">
            <w:pPr>
              <w:ind w:firstLine="851"/>
              <w:jc w:val="both"/>
              <w:rPr>
                <w:szCs w:val="24"/>
                <w:lang w:eastAsia="lt-LT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86" w:rsidRDefault="00C7648E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3.6.3. Įvairiarūšė analizė, apdorojimas ir diegimas.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86" w:rsidRDefault="00C7648E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□</w:t>
            </w:r>
          </w:p>
        </w:tc>
      </w:tr>
      <w:tr w:rsidR="009E68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86" w:rsidRDefault="009E6886">
            <w:pPr>
              <w:ind w:firstLine="851"/>
              <w:rPr>
                <w:szCs w:val="24"/>
                <w:lang w:eastAsia="lt-LT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86" w:rsidRDefault="009E6886">
            <w:pPr>
              <w:ind w:firstLine="851"/>
              <w:jc w:val="both"/>
              <w:rPr>
                <w:szCs w:val="24"/>
                <w:lang w:eastAsia="lt-LT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86" w:rsidRDefault="00C7648E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3.6.4. Kibernetinis saugumas.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86" w:rsidRDefault="00C7648E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□</w:t>
            </w:r>
          </w:p>
        </w:tc>
      </w:tr>
      <w:tr w:rsidR="009E68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86" w:rsidRDefault="009E6886">
            <w:pPr>
              <w:ind w:firstLine="851"/>
              <w:rPr>
                <w:szCs w:val="24"/>
                <w:lang w:eastAsia="lt-LT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86" w:rsidRDefault="009E6886">
            <w:pPr>
              <w:ind w:firstLine="851"/>
              <w:jc w:val="both"/>
              <w:rPr>
                <w:szCs w:val="24"/>
                <w:lang w:eastAsia="lt-LT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86" w:rsidRDefault="00C7648E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3.6.5. Finansinės technologijos ir blokų grandinės.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86" w:rsidRDefault="00C7648E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□</w:t>
            </w:r>
          </w:p>
        </w:tc>
      </w:tr>
      <w:tr w:rsidR="009E6886"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86" w:rsidRDefault="00C7648E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 xml:space="preserve">3.7. Įtrauki ir kūrybinga visuomenė 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86" w:rsidRDefault="00C7648E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□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86" w:rsidRDefault="00C7648E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3.7.1. Modernios ugdymosi technologijos ir procesai.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86" w:rsidRDefault="00C7648E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□</w:t>
            </w:r>
          </w:p>
        </w:tc>
      </w:tr>
      <w:tr w:rsidR="009E68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86" w:rsidRDefault="009E6886">
            <w:pPr>
              <w:ind w:firstLine="851"/>
              <w:jc w:val="both"/>
              <w:rPr>
                <w:szCs w:val="24"/>
                <w:lang w:eastAsia="lt-LT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86" w:rsidRDefault="009E6886">
            <w:pPr>
              <w:ind w:firstLine="851"/>
              <w:jc w:val="both"/>
              <w:rPr>
                <w:szCs w:val="24"/>
                <w:lang w:eastAsia="lt-LT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86" w:rsidRDefault="00C7648E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3.7.2. Dizaino ir audiovizualinių medijų technologijos ir produktai.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86" w:rsidRDefault="00C7648E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□</w:t>
            </w:r>
          </w:p>
        </w:tc>
      </w:tr>
      <w:tr w:rsidR="009E68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86" w:rsidRDefault="009E6886">
            <w:pPr>
              <w:ind w:firstLine="851"/>
              <w:jc w:val="both"/>
              <w:rPr>
                <w:szCs w:val="24"/>
                <w:lang w:eastAsia="lt-LT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86" w:rsidRDefault="009E6886">
            <w:pPr>
              <w:ind w:firstLine="851"/>
              <w:jc w:val="both"/>
              <w:rPr>
                <w:szCs w:val="24"/>
                <w:lang w:eastAsia="lt-LT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86" w:rsidRDefault="00C7648E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3.7.3. Socialinės ir kultūrinės inovacijos visuomenės vystymo produktams ir paslaugoms kurti,  novatoriški verslo modeliai.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86" w:rsidRDefault="00C7648E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□</w:t>
            </w:r>
          </w:p>
        </w:tc>
      </w:tr>
      <w:tr w:rsidR="009E6886">
        <w:trPr>
          <w:trHeight w:val="6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86" w:rsidRDefault="009E6886">
            <w:pPr>
              <w:ind w:firstLine="851"/>
              <w:jc w:val="both"/>
              <w:rPr>
                <w:szCs w:val="24"/>
                <w:lang w:eastAsia="lt-LT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86" w:rsidRDefault="009E6886">
            <w:pPr>
              <w:ind w:firstLine="851"/>
              <w:jc w:val="both"/>
              <w:rPr>
                <w:szCs w:val="24"/>
                <w:lang w:eastAsia="lt-LT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86" w:rsidRDefault="00C7648E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3.7.4. Lanksčiosios ir taikomosios procesų valdymo technologijos.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86" w:rsidRDefault="00C7648E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□</w:t>
            </w:r>
          </w:p>
        </w:tc>
      </w:tr>
    </w:tbl>
    <w:p w:rsidR="009E6886" w:rsidRDefault="009E6886">
      <w:pPr>
        <w:ind w:firstLine="851"/>
        <w:jc w:val="both"/>
        <w:rPr>
          <w:b/>
          <w:szCs w:val="24"/>
          <w:lang w:eastAsia="lt-LT"/>
        </w:rPr>
      </w:pPr>
    </w:p>
    <w:p w:rsidR="009E6886" w:rsidRDefault="009E6886">
      <w:pPr>
        <w:ind w:firstLine="851"/>
        <w:jc w:val="both"/>
        <w:rPr>
          <w:b/>
          <w:szCs w:val="24"/>
        </w:rPr>
      </w:pPr>
    </w:p>
    <w:p w:rsidR="009E6886" w:rsidRDefault="00C7648E">
      <w:pPr>
        <w:ind w:firstLine="709"/>
        <w:jc w:val="both"/>
        <w:rPr>
          <w:szCs w:val="24"/>
        </w:rPr>
      </w:pPr>
      <w:r>
        <w:rPr>
          <w:b/>
          <w:szCs w:val="24"/>
        </w:rPr>
        <w:t>4.</w:t>
      </w:r>
      <w:r>
        <w:rPr>
          <w:szCs w:val="24"/>
        </w:rPr>
        <w:t xml:space="preserve"> </w:t>
      </w:r>
      <w:r>
        <w:rPr>
          <w:b/>
          <w:szCs w:val="24"/>
        </w:rPr>
        <w:t xml:space="preserve">Pareiškėjo (klasterio nario, jei pareiškėjas yra klasterio koordinatorius) patirtis įgyvendinant MTEPI veiklas </w:t>
      </w:r>
      <w:r>
        <w:rPr>
          <w:szCs w:val="24"/>
        </w:rPr>
        <w:t>(taikoma nustatant projekto atitiktį Aprašo 16.3 papunkčio nuostatoms) (pateikiama informacija apie pareiškėjo (arba klasterio nario, jei pareišk</w:t>
      </w:r>
      <w:r>
        <w:rPr>
          <w:szCs w:val="24"/>
        </w:rPr>
        <w:t>ėjas yra klasterio koordinatorius) patirtį įgyvendinant MTEPI veiklas).</w:t>
      </w:r>
    </w:p>
    <w:p w:rsidR="009E6886" w:rsidRDefault="00C7648E">
      <w:pPr>
        <w:ind w:firstLine="709"/>
        <w:jc w:val="both"/>
        <w:rPr>
          <w:szCs w:val="24"/>
        </w:rPr>
      </w:pPr>
      <w:r>
        <w:rPr>
          <w:szCs w:val="24"/>
        </w:rPr>
        <w:t>Informacija apie pareiškėjo (klasterio nario, jei pareiškėjas yra klasterio koordinatorius) deklaruotas Lietuvos statistikos departamentui MTEP veiklai skirtas lėšas.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500"/>
      </w:tblGrid>
      <w:tr w:rsidR="009E6886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E6886" w:rsidRDefault="00C7648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Laikotarpis, už k</w:t>
            </w:r>
            <w:r>
              <w:rPr>
                <w:szCs w:val="24"/>
              </w:rPr>
              <w:t>urį buvo deklaruotos MTEPI veiklai skirtos lėšos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E6886" w:rsidRDefault="00C7648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Lietuvos statistikos departamentui deklaruota lėšų suma (Eur)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E6886" w:rsidRDefault="00C7648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Informacija apie vykdytas MTEPI veiklas, kurioms skirtos lėšos buvo deklaruotos Lietuvos statistikos departamentui</w:t>
            </w:r>
          </w:p>
        </w:tc>
      </w:tr>
      <w:tr w:rsidR="009E6886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86" w:rsidRDefault="009E6886"/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86" w:rsidRDefault="009E6886">
            <w:pPr>
              <w:ind w:firstLine="851"/>
              <w:jc w:val="both"/>
              <w:rPr>
                <w:szCs w:val="24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86" w:rsidRDefault="009E6886">
            <w:pPr>
              <w:ind w:firstLine="851"/>
              <w:jc w:val="both"/>
              <w:rPr>
                <w:szCs w:val="24"/>
              </w:rPr>
            </w:pPr>
          </w:p>
        </w:tc>
      </w:tr>
    </w:tbl>
    <w:p w:rsidR="009E6886" w:rsidRDefault="009E6886">
      <w:pPr>
        <w:ind w:firstLine="851"/>
        <w:jc w:val="both"/>
        <w:rPr>
          <w:b/>
          <w:szCs w:val="24"/>
        </w:rPr>
      </w:pPr>
    </w:p>
    <w:p w:rsidR="009E6886" w:rsidRDefault="00C7648E">
      <w:pPr>
        <w:ind w:firstLine="709"/>
        <w:jc w:val="both"/>
        <w:rPr>
          <w:b/>
          <w:szCs w:val="24"/>
        </w:rPr>
      </w:pPr>
      <w:r>
        <w:rPr>
          <w:b/>
          <w:szCs w:val="24"/>
        </w:rPr>
        <w:t xml:space="preserve">5. Projekto sąsajos su </w:t>
      </w:r>
      <w:r>
        <w:rPr>
          <w:b/>
          <w:szCs w:val="24"/>
          <w:lang w:eastAsia="lt-LT"/>
        </w:rPr>
        <w:t xml:space="preserve">Europos Sąjungos Baltijos jūros regiono strategija </w:t>
      </w:r>
      <w:r>
        <w:rPr>
          <w:szCs w:val="24"/>
          <w:lang w:eastAsia="lt-LT"/>
        </w:rPr>
        <w:t>(taikoma, nustatant projekto atitiktį Aprašo 17 punkto nuostatoms)</w:t>
      </w:r>
      <w:r>
        <w:rPr>
          <w:szCs w:val="24"/>
        </w:rPr>
        <w:t>.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9E6886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E6886" w:rsidRDefault="00C7648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Pagrįskite, kaip projektas prisideda prie bent vieno Europos Sąjungos Baltijos jūros regiono strategijos tikslo ir veiksmų plano priorite</w:t>
            </w:r>
            <w:r>
              <w:rPr>
                <w:szCs w:val="24"/>
              </w:rPr>
              <w:t>tinės srities „Inovacijos“ įgyvendinimo.</w:t>
            </w:r>
          </w:p>
        </w:tc>
      </w:tr>
      <w:tr w:rsidR="009E6886">
        <w:trPr>
          <w:trHeight w:val="578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86" w:rsidRDefault="009E6886"/>
        </w:tc>
      </w:tr>
    </w:tbl>
    <w:p w:rsidR="009E6886" w:rsidRDefault="009E6886">
      <w:pPr>
        <w:ind w:firstLine="851"/>
        <w:jc w:val="both"/>
        <w:rPr>
          <w:szCs w:val="24"/>
        </w:rPr>
      </w:pPr>
    </w:p>
    <w:p w:rsidR="009E6886" w:rsidRDefault="00C7648E">
      <w:pPr>
        <w:ind w:firstLine="851"/>
        <w:jc w:val="center"/>
        <w:rPr>
          <w:szCs w:val="24"/>
          <w:lang w:eastAsia="lt-LT"/>
        </w:rPr>
      </w:pPr>
      <w:r>
        <w:rPr>
          <w:szCs w:val="24"/>
        </w:rPr>
        <w:t>___________________</w:t>
      </w:r>
      <w:bookmarkStart w:id="0" w:name="_GoBack"/>
      <w:bookmarkEnd w:id="0"/>
    </w:p>
    <w:sectPr w:rsidR="009E6886">
      <w:headerReference w:type="default" r:id="rId7"/>
      <w:pgSz w:w="11906" w:h="16838"/>
      <w:pgMar w:top="1134" w:right="567" w:bottom="1418" w:left="1418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48E" w:rsidRDefault="00C7648E">
      <w:pPr>
        <w:ind w:firstLine="851"/>
        <w:jc w:val="both"/>
        <w:rPr>
          <w:szCs w:val="24"/>
        </w:rPr>
      </w:pPr>
      <w:r>
        <w:rPr>
          <w:szCs w:val="24"/>
        </w:rPr>
        <w:separator/>
      </w:r>
    </w:p>
    <w:p w:rsidR="00C7648E" w:rsidRDefault="00C7648E"/>
    <w:p w:rsidR="00C7648E" w:rsidRDefault="00C7648E">
      <w:pPr>
        <w:ind w:firstLine="851"/>
        <w:jc w:val="both"/>
        <w:rPr>
          <w:szCs w:val="24"/>
        </w:rPr>
      </w:pPr>
    </w:p>
  </w:endnote>
  <w:endnote w:type="continuationSeparator" w:id="0">
    <w:p w:rsidR="00C7648E" w:rsidRDefault="00C7648E">
      <w:pPr>
        <w:ind w:firstLine="851"/>
        <w:jc w:val="both"/>
        <w:rPr>
          <w:szCs w:val="24"/>
        </w:rPr>
      </w:pPr>
      <w:r>
        <w:rPr>
          <w:szCs w:val="24"/>
        </w:rPr>
        <w:continuationSeparator/>
      </w:r>
    </w:p>
    <w:p w:rsidR="00C7648E" w:rsidRDefault="00C7648E"/>
    <w:p w:rsidR="00C7648E" w:rsidRDefault="00C7648E">
      <w:pPr>
        <w:ind w:firstLine="851"/>
        <w:jc w:val="both"/>
        <w:rPr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48E" w:rsidRDefault="00C7648E">
      <w:pPr>
        <w:ind w:firstLine="851"/>
        <w:jc w:val="both"/>
        <w:rPr>
          <w:szCs w:val="24"/>
        </w:rPr>
      </w:pPr>
      <w:r>
        <w:rPr>
          <w:szCs w:val="24"/>
        </w:rPr>
        <w:separator/>
      </w:r>
    </w:p>
    <w:p w:rsidR="00C7648E" w:rsidRDefault="00C7648E"/>
    <w:p w:rsidR="00C7648E" w:rsidRDefault="00C7648E">
      <w:pPr>
        <w:ind w:firstLine="851"/>
        <w:jc w:val="both"/>
        <w:rPr>
          <w:szCs w:val="24"/>
        </w:rPr>
      </w:pPr>
    </w:p>
  </w:footnote>
  <w:footnote w:type="continuationSeparator" w:id="0">
    <w:p w:rsidR="00C7648E" w:rsidRDefault="00C7648E">
      <w:pPr>
        <w:ind w:firstLine="851"/>
        <w:jc w:val="both"/>
        <w:rPr>
          <w:szCs w:val="24"/>
        </w:rPr>
      </w:pPr>
      <w:r>
        <w:rPr>
          <w:szCs w:val="24"/>
        </w:rPr>
        <w:continuationSeparator/>
      </w:r>
    </w:p>
    <w:p w:rsidR="00C7648E" w:rsidRDefault="00C7648E"/>
    <w:p w:rsidR="00C7648E" w:rsidRDefault="00C7648E">
      <w:pPr>
        <w:ind w:firstLine="851"/>
        <w:jc w:val="both"/>
        <w:rPr>
          <w:szCs w:val="2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886" w:rsidRDefault="00C7648E">
    <w:pPr>
      <w:tabs>
        <w:tab w:val="center" w:pos="4819"/>
        <w:tab w:val="right" w:pos="9638"/>
      </w:tabs>
      <w:ind w:firstLine="851"/>
      <w:jc w:val="center"/>
      <w:rPr>
        <w:szCs w:val="24"/>
      </w:rPr>
    </w:pPr>
    <w:r>
      <w:rPr>
        <w:szCs w:val="24"/>
      </w:rPr>
      <w:fldChar w:fldCharType="begin"/>
    </w:r>
    <w:r>
      <w:rPr>
        <w:szCs w:val="24"/>
      </w:rPr>
      <w:instrText>PAGE   \* MERGEFORMAT</w:instrText>
    </w:r>
    <w:r>
      <w:rPr>
        <w:szCs w:val="24"/>
      </w:rPr>
      <w:fldChar w:fldCharType="separate"/>
    </w:r>
    <w:r w:rsidR="00320055">
      <w:rPr>
        <w:noProof/>
        <w:szCs w:val="24"/>
      </w:rPr>
      <w:t>2</w:t>
    </w:r>
    <w:r>
      <w:rPr>
        <w:szCs w:val="24"/>
      </w:rPr>
      <w:fldChar w:fldCharType="end"/>
    </w:r>
  </w:p>
  <w:p w:rsidR="009E6886" w:rsidRDefault="009E688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1296"/>
  <w:hyphenationZone w:val="396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01C"/>
    <w:rsid w:val="00320055"/>
    <w:rsid w:val="009E6886"/>
    <w:rsid w:val="00BC401C"/>
    <w:rsid w:val="00C7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BF01F3E-E748-4B49-92B4-195B7512A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2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535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430346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6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0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2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32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2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56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41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65743-B6DB-4569-8F27-8CD07A5F4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3747</Words>
  <Characters>2136</Characters>
  <Application>Microsoft Office Word</Application>
  <DocSecurity>0</DocSecurity>
  <Lines>17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 finansų ministerija</Company>
  <LinksUpToDate>false</LinksUpToDate>
  <CharactersWithSpaces>5872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Žana Zimina</dc:creator>
  <cp:lastModifiedBy>Egidijus Braciška</cp:lastModifiedBy>
  <cp:revision>2</cp:revision>
  <cp:lastPrinted>2017-03-03T06:07:00Z</cp:lastPrinted>
  <dcterms:created xsi:type="dcterms:W3CDTF">2020-01-20T12:18:00Z</dcterms:created>
  <dcterms:modified xsi:type="dcterms:W3CDTF">2020-01-20T12:18:00Z</dcterms:modified>
</cp:coreProperties>
</file>