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FE" w:rsidRDefault="00291AFE" w:rsidP="00291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B3C">
        <w:rPr>
          <w:rFonts w:ascii="Times New Roman" w:hAnsi="Times New Roman" w:cs="Times New Roman"/>
          <w:sz w:val="24"/>
          <w:szCs w:val="24"/>
        </w:rPr>
        <w:t>Priemonės „</w:t>
      </w:r>
      <w:proofErr w:type="spellStart"/>
      <w:r>
        <w:rPr>
          <w:rFonts w:ascii="Times New Roman" w:hAnsi="Times New Roman" w:cs="Times New Roman"/>
          <w:sz w:val="24"/>
          <w:szCs w:val="24"/>
        </w:rPr>
        <w:t>Inoklaster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LT</w:t>
      </w:r>
      <w:r w:rsidRPr="00752B3C">
        <w:rPr>
          <w:rFonts w:ascii="Times New Roman" w:hAnsi="Times New Roman" w:cs="Times New Roman"/>
          <w:sz w:val="24"/>
          <w:szCs w:val="24"/>
        </w:rPr>
        <w:t xml:space="preserve">“ atsakymai </w:t>
      </w:r>
      <w:r w:rsidR="00E973B5">
        <w:rPr>
          <w:rFonts w:ascii="Times New Roman" w:hAnsi="Times New Roman" w:cs="Times New Roman"/>
          <w:sz w:val="24"/>
          <w:szCs w:val="24"/>
        </w:rPr>
        <w:t xml:space="preserve">į </w:t>
      </w:r>
      <w:r w:rsidRPr="00752B3C">
        <w:rPr>
          <w:rFonts w:ascii="Times New Roman" w:hAnsi="Times New Roman" w:cs="Times New Roman"/>
          <w:sz w:val="24"/>
          <w:szCs w:val="24"/>
        </w:rPr>
        <w:t xml:space="preserve">aktualius klausimus yra parengti vadovaujantis Lietuvos Respublikos ūkio ministro 2016 m. </w:t>
      </w:r>
      <w:r>
        <w:rPr>
          <w:rFonts w:ascii="Times New Roman" w:hAnsi="Times New Roman" w:cs="Times New Roman"/>
          <w:sz w:val="24"/>
          <w:szCs w:val="24"/>
        </w:rPr>
        <w:t>gegužės 23 d. įsakymu Nr. 4-368</w:t>
      </w:r>
      <w:r w:rsidRPr="00752B3C">
        <w:rPr>
          <w:rFonts w:ascii="Times New Roman" w:hAnsi="Times New Roman" w:cs="Times New Roman"/>
          <w:sz w:val="24"/>
          <w:szCs w:val="24"/>
        </w:rPr>
        <w:t xml:space="preserve"> patvirtintu „2014-2020 metų Europos Sąjungos fondų</w:t>
      </w:r>
      <w:r>
        <w:rPr>
          <w:rFonts w:ascii="Times New Roman" w:hAnsi="Times New Roman" w:cs="Times New Roman"/>
          <w:sz w:val="24"/>
          <w:szCs w:val="24"/>
        </w:rPr>
        <w:t xml:space="preserve"> investicijų veiksmų programos 1</w:t>
      </w:r>
      <w:r w:rsidRPr="00752B3C">
        <w:rPr>
          <w:rFonts w:ascii="Times New Roman" w:hAnsi="Times New Roman" w:cs="Times New Roman"/>
          <w:sz w:val="24"/>
          <w:szCs w:val="24"/>
        </w:rPr>
        <w:t xml:space="preserve"> prioriteto „</w:t>
      </w:r>
      <w:r>
        <w:rPr>
          <w:rFonts w:ascii="Times New Roman" w:hAnsi="Times New Roman" w:cs="Times New Roman"/>
          <w:sz w:val="24"/>
          <w:szCs w:val="24"/>
        </w:rPr>
        <w:t>Mokslinių tyrimų, eksperimentinės plėtros ir inovacijų skatinimas“ priemonės Nr. 01.2.1-LVPA-K-833</w:t>
      </w:r>
      <w:r w:rsidRPr="00752B3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Inoklaster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LT</w:t>
      </w:r>
      <w:r w:rsidRPr="00752B3C">
        <w:rPr>
          <w:rFonts w:ascii="Times New Roman" w:hAnsi="Times New Roman" w:cs="Times New Roman"/>
          <w:sz w:val="24"/>
          <w:szCs w:val="24"/>
        </w:rPr>
        <w:t>“ projektų finansavimo sąlygų aprašu Nr. 1“</w:t>
      </w:r>
      <w:r>
        <w:rPr>
          <w:rFonts w:ascii="Times New Roman" w:hAnsi="Times New Roman" w:cs="Times New Roman"/>
          <w:sz w:val="24"/>
          <w:szCs w:val="24"/>
        </w:rPr>
        <w:t xml:space="preserve"> (toliau – Aprašas)</w:t>
      </w:r>
      <w:r w:rsidRPr="00752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ir susijusiais dokumentais. </w:t>
      </w:r>
    </w:p>
    <w:p w:rsidR="00464AC4" w:rsidRDefault="00464AC4"/>
    <w:p w:rsidR="001754E6" w:rsidRDefault="001754E6" w:rsidP="006F7BE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Kas yra moksliniai tyrimai?</w:t>
      </w:r>
    </w:p>
    <w:p w:rsidR="001754E6" w:rsidRDefault="001754E6" w:rsidP="00175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Aprašo 4.5 punkte nurodoma, kad moksliniai tyrimai atitinka pramoninių tyrimų sąvoką, kuri yra apibrėžta </w:t>
      </w:r>
      <w:hyperlink r:id="rId6" w:history="1">
        <w:r w:rsidRPr="00E973B5">
          <w:rPr>
            <w:rStyle w:val="Hipersaitas"/>
            <w:rFonts w:ascii="Times New Roman" w:hAnsi="Times New Roman" w:cs="Times New Roman"/>
            <w:sz w:val="24"/>
            <w:szCs w:val="24"/>
          </w:rPr>
          <w:t>2014 m. birželio 17 d. Komisijos reglamento (</w:t>
        </w:r>
        <w:r>
          <w:rPr>
            <w:rStyle w:val="Hipersaitas"/>
            <w:rFonts w:ascii="Times New Roman" w:hAnsi="Times New Roman" w:cs="Times New Roman"/>
            <w:sz w:val="24"/>
            <w:szCs w:val="24"/>
          </w:rPr>
          <w:t>ES) Nr. 651/2014 2 straipsnio 85</w:t>
        </w:r>
        <w:r w:rsidRPr="00E973B5">
          <w:rPr>
            <w:rStyle w:val="Hipersaitas"/>
            <w:rFonts w:ascii="Times New Roman" w:hAnsi="Times New Roman" w:cs="Times New Roman"/>
            <w:sz w:val="24"/>
            <w:szCs w:val="24"/>
          </w:rPr>
          <w:t xml:space="preserve"> punkte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1754E6" w:rsidRPr="001754E6" w:rsidRDefault="001754E6" w:rsidP="00175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E6">
        <w:rPr>
          <w:rFonts w:ascii="Times New Roman" w:hAnsi="Times New Roman" w:cs="Times New Roman"/>
          <w:sz w:val="24"/>
          <w:szCs w:val="24"/>
        </w:rPr>
        <w:t>„pramoniniai tyrimai – suplanuoti moksliniai tyrimai arba labai svarbūs tyrimai, kur</w:t>
      </w:r>
      <w:r>
        <w:rPr>
          <w:rFonts w:ascii="Times New Roman" w:hAnsi="Times New Roman" w:cs="Times New Roman"/>
          <w:sz w:val="24"/>
          <w:szCs w:val="24"/>
        </w:rPr>
        <w:t xml:space="preserve">iais siekiama įgyti naujų žinių </w:t>
      </w:r>
      <w:r w:rsidRPr="001754E6">
        <w:rPr>
          <w:rFonts w:ascii="Times New Roman" w:hAnsi="Times New Roman" w:cs="Times New Roman"/>
          <w:sz w:val="24"/>
          <w:szCs w:val="24"/>
        </w:rPr>
        <w:t>ir gebėjimų, reikalingų naujiems produktams, procesams ar paslaugoms kurti arba esamiems pr</w:t>
      </w:r>
      <w:r>
        <w:rPr>
          <w:rFonts w:ascii="Times New Roman" w:hAnsi="Times New Roman" w:cs="Times New Roman"/>
          <w:sz w:val="24"/>
          <w:szCs w:val="24"/>
        </w:rPr>
        <w:t xml:space="preserve">oduktams, procesams </w:t>
      </w:r>
      <w:r w:rsidRPr="001754E6">
        <w:rPr>
          <w:rFonts w:ascii="Times New Roman" w:hAnsi="Times New Roman" w:cs="Times New Roman"/>
          <w:sz w:val="24"/>
          <w:szCs w:val="24"/>
        </w:rPr>
        <w:t xml:space="preserve">ar paslaugoms labai patobulinti. Jie apima sudėtinių sistemų dalių kūrimą </w:t>
      </w:r>
      <w:r>
        <w:rPr>
          <w:rFonts w:ascii="Times New Roman" w:hAnsi="Times New Roman" w:cs="Times New Roman"/>
          <w:sz w:val="24"/>
          <w:szCs w:val="24"/>
        </w:rPr>
        <w:t xml:space="preserve">ir gali apimti prototipų kūrimą </w:t>
      </w:r>
      <w:r w:rsidRPr="001754E6">
        <w:rPr>
          <w:rFonts w:ascii="Times New Roman" w:hAnsi="Times New Roman" w:cs="Times New Roman"/>
          <w:sz w:val="24"/>
          <w:szCs w:val="24"/>
        </w:rPr>
        <w:t>laboratorijos ap</w:t>
      </w:r>
      <w:r>
        <w:rPr>
          <w:rFonts w:ascii="Times New Roman" w:hAnsi="Times New Roman" w:cs="Times New Roman"/>
          <w:sz w:val="24"/>
          <w:szCs w:val="24"/>
        </w:rPr>
        <w:t xml:space="preserve">linkoje arba aplinkoje, kurioje </w:t>
      </w:r>
      <w:r w:rsidRPr="001754E6">
        <w:rPr>
          <w:rFonts w:ascii="Times New Roman" w:hAnsi="Times New Roman" w:cs="Times New Roman"/>
          <w:sz w:val="24"/>
          <w:szCs w:val="24"/>
        </w:rPr>
        <w:t>modeliuojamos sąsajos su esama sis</w:t>
      </w:r>
      <w:r>
        <w:rPr>
          <w:rFonts w:ascii="Times New Roman" w:hAnsi="Times New Roman" w:cs="Times New Roman"/>
          <w:sz w:val="24"/>
          <w:szCs w:val="24"/>
        </w:rPr>
        <w:t xml:space="preserve">tema, taip pat bandomųjų linijų </w:t>
      </w:r>
      <w:r w:rsidRPr="001754E6">
        <w:rPr>
          <w:rFonts w:ascii="Times New Roman" w:hAnsi="Times New Roman" w:cs="Times New Roman"/>
          <w:sz w:val="24"/>
          <w:szCs w:val="24"/>
        </w:rPr>
        <w:t>kūrimą, kai to reikia pramoniniams tyrimams ir visų pirma bendram technologiniam patvirtinimui;“</w:t>
      </w:r>
    </w:p>
    <w:p w:rsidR="001754E6" w:rsidRPr="001754E6" w:rsidRDefault="001754E6" w:rsidP="001754E6">
      <w:pPr>
        <w:rPr>
          <w:rFonts w:ascii="Times New Roman" w:hAnsi="Times New Roman" w:cs="Times New Roman"/>
          <w:sz w:val="24"/>
          <w:szCs w:val="24"/>
        </w:rPr>
      </w:pPr>
    </w:p>
    <w:p w:rsidR="006F7BEF" w:rsidRDefault="006F7BEF" w:rsidP="006F7BE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7BEF">
        <w:rPr>
          <w:rFonts w:ascii="Times New Roman" w:hAnsi="Times New Roman" w:cs="Times New Roman"/>
          <w:b/>
          <w:sz w:val="24"/>
          <w:szCs w:val="24"/>
        </w:rPr>
        <w:t>Kas yra eksperimentinė plėtra?</w:t>
      </w:r>
    </w:p>
    <w:p w:rsidR="006F7BEF" w:rsidRDefault="006F7BEF" w:rsidP="006F7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Aprašo 4.1 punkte nurodoma, kad eksperimentinė plėtra atitinka bandomosios taikomosios veiklos sąvoką, kur yra apibrėžta </w:t>
      </w:r>
      <w:hyperlink r:id="rId7" w:history="1">
        <w:r w:rsidRPr="00E973B5">
          <w:rPr>
            <w:rStyle w:val="Hipersaitas"/>
            <w:rFonts w:ascii="Times New Roman" w:hAnsi="Times New Roman" w:cs="Times New Roman"/>
            <w:sz w:val="24"/>
            <w:szCs w:val="24"/>
          </w:rPr>
          <w:t>2014 m. birželio 17 d. Komisijos reglamento (ES) Nr. 651/2014 2 straipsnio 86 punkte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6F7BEF" w:rsidRPr="00E973B5" w:rsidRDefault="00E973B5" w:rsidP="00E97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F7BEF" w:rsidRPr="00E973B5">
        <w:rPr>
          <w:rFonts w:ascii="Times New Roman" w:hAnsi="Times New Roman" w:cs="Times New Roman"/>
          <w:sz w:val="24"/>
          <w:szCs w:val="24"/>
        </w:rPr>
        <w:t>bandomoji taikomoji veikla – mokslinių, technologinių, verslo ir kitų atitinka</w:t>
      </w:r>
      <w:r>
        <w:rPr>
          <w:rFonts w:ascii="Times New Roman" w:hAnsi="Times New Roman" w:cs="Times New Roman"/>
          <w:sz w:val="24"/>
          <w:szCs w:val="24"/>
        </w:rPr>
        <w:t xml:space="preserve">mų žinių bei gebėjimų įgijimas, </w:t>
      </w:r>
      <w:r w:rsidR="006F7BEF" w:rsidRPr="00E973B5">
        <w:rPr>
          <w:rFonts w:ascii="Times New Roman" w:hAnsi="Times New Roman" w:cs="Times New Roman"/>
          <w:sz w:val="24"/>
          <w:szCs w:val="24"/>
        </w:rPr>
        <w:t>sujungimas, formavimas ir taikymas siekiant sukurti naujus arba patobulintus prod</w:t>
      </w:r>
      <w:r>
        <w:rPr>
          <w:rFonts w:ascii="Times New Roman" w:hAnsi="Times New Roman" w:cs="Times New Roman"/>
          <w:sz w:val="24"/>
          <w:szCs w:val="24"/>
        </w:rPr>
        <w:t xml:space="preserve">uktus, procesus arba paslaugas. </w:t>
      </w:r>
      <w:r w:rsidR="006F7BEF" w:rsidRPr="00E973B5">
        <w:rPr>
          <w:rFonts w:ascii="Times New Roman" w:hAnsi="Times New Roman" w:cs="Times New Roman"/>
          <w:sz w:val="24"/>
          <w:szCs w:val="24"/>
        </w:rPr>
        <w:t xml:space="preserve">Į šią sąvoką taip pat gali būti įtraukta veikla, kurios tikslas yra, pavyzdžiui, naujų </w:t>
      </w:r>
      <w:r>
        <w:rPr>
          <w:rFonts w:ascii="Times New Roman" w:hAnsi="Times New Roman" w:cs="Times New Roman"/>
          <w:sz w:val="24"/>
          <w:szCs w:val="24"/>
        </w:rPr>
        <w:t xml:space="preserve">produktų, procesų arba paslaugų </w:t>
      </w:r>
      <w:r w:rsidR="006F7BEF" w:rsidRPr="00E973B5">
        <w:rPr>
          <w:rFonts w:ascii="Times New Roman" w:hAnsi="Times New Roman" w:cs="Times New Roman"/>
          <w:sz w:val="24"/>
          <w:szCs w:val="24"/>
        </w:rPr>
        <w:t>koncepcinis formulavimas, planavimas ir dokumentavimas.</w:t>
      </w:r>
    </w:p>
    <w:p w:rsidR="006F7BEF" w:rsidRDefault="006F7BEF" w:rsidP="00E97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B5">
        <w:rPr>
          <w:rFonts w:ascii="Times New Roman" w:hAnsi="Times New Roman" w:cs="Times New Roman"/>
          <w:sz w:val="24"/>
          <w:szCs w:val="24"/>
        </w:rPr>
        <w:t>Bandomoji taikomoji veikla gali apimti naujų arba patobulintų produktų, proces</w:t>
      </w:r>
      <w:r w:rsidR="00E973B5">
        <w:rPr>
          <w:rFonts w:ascii="Times New Roman" w:hAnsi="Times New Roman" w:cs="Times New Roman"/>
          <w:sz w:val="24"/>
          <w:szCs w:val="24"/>
        </w:rPr>
        <w:t xml:space="preserve">ų ar paslaugų prototipų kūrimą, </w:t>
      </w:r>
      <w:r w:rsidRPr="00E973B5">
        <w:rPr>
          <w:rFonts w:ascii="Times New Roman" w:hAnsi="Times New Roman" w:cs="Times New Roman"/>
          <w:sz w:val="24"/>
          <w:szCs w:val="24"/>
        </w:rPr>
        <w:t>demonstravimą, bandomųjų projektų kūrimą, bandymą ir tvirtinimą realias n</w:t>
      </w:r>
      <w:r w:rsidR="00E973B5">
        <w:rPr>
          <w:rFonts w:ascii="Times New Roman" w:hAnsi="Times New Roman" w:cs="Times New Roman"/>
          <w:sz w:val="24"/>
          <w:szCs w:val="24"/>
        </w:rPr>
        <w:t xml:space="preserve">audojimo sąlygas atitinkančioje </w:t>
      </w:r>
      <w:r w:rsidRPr="00E973B5">
        <w:rPr>
          <w:rFonts w:ascii="Times New Roman" w:hAnsi="Times New Roman" w:cs="Times New Roman"/>
          <w:sz w:val="24"/>
          <w:szCs w:val="24"/>
        </w:rPr>
        <w:t>aplinkoje, kai pagrindinis tikslas yra labiau techniškai patobulinti produktus, procesus</w:t>
      </w:r>
      <w:r w:rsidR="00E973B5">
        <w:rPr>
          <w:rFonts w:ascii="Times New Roman" w:hAnsi="Times New Roman" w:cs="Times New Roman"/>
          <w:sz w:val="24"/>
          <w:szCs w:val="24"/>
        </w:rPr>
        <w:t xml:space="preserve"> ar paslaugas, kurie nėra iš </w:t>
      </w:r>
      <w:r w:rsidRPr="00E973B5">
        <w:rPr>
          <w:rFonts w:ascii="Times New Roman" w:hAnsi="Times New Roman" w:cs="Times New Roman"/>
          <w:sz w:val="24"/>
          <w:szCs w:val="24"/>
        </w:rPr>
        <w:t>esmės įtvirtinti. Tai taip pat gali apimti tinkamo komerciškai naudoti prototi</w:t>
      </w:r>
      <w:r w:rsidR="00E973B5">
        <w:rPr>
          <w:rFonts w:ascii="Times New Roman" w:hAnsi="Times New Roman" w:cs="Times New Roman"/>
          <w:sz w:val="24"/>
          <w:szCs w:val="24"/>
        </w:rPr>
        <w:t xml:space="preserve">po ar bandomojo vieneto kūrimą, </w:t>
      </w:r>
      <w:r w:rsidRPr="00E973B5">
        <w:rPr>
          <w:rFonts w:ascii="Times New Roman" w:hAnsi="Times New Roman" w:cs="Times New Roman"/>
          <w:sz w:val="24"/>
          <w:szCs w:val="24"/>
        </w:rPr>
        <w:t>jeigu tai yra galutinis komercinis produktas ir jeigu tokį produktą būtų per brangu</w:t>
      </w:r>
      <w:r w:rsidR="00E973B5">
        <w:rPr>
          <w:rFonts w:ascii="Times New Roman" w:hAnsi="Times New Roman" w:cs="Times New Roman"/>
          <w:sz w:val="24"/>
          <w:szCs w:val="24"/>
        </w:rPr>
        <w:t xml:space="preserve"> gaminti vien tam, kad jis būtų </w:t>
      </w:r>
      <w:r w:rsidRPr="00E973B5">
        <w:rPr>
          <w:rFonts w:ascii="Times New Roman" w:hAnsi="Times New Roman" w:cs="Times New Roman"/>
          <w:sz w:val="24"/>
          <w:szCs w:val="24"/>
        </w:rPr>
        <w:t>pa</w:t>
      </w:r>
      <w:r w:rsidR="00E973B5">
        <w:rPr>
          <w:rFonts w:ascii="Times New Roman" w:hAnsi="Times New Roman" w:cs="Times New Roman"/>
          <w:sz w:val="24"/>
          <w:szCs w:val="24"/>
        </w:rPr>
        <w:t xml:space="preserve">demonstruotas ir patvirtintas. </w:t>
      </w:r>
      <w:r w:rsidRPr="00E973B5">
        <w:rPr>
          <w:rFonts w:ascii="Times New Roman" w:hAnsi="Times New Roman" w:cs="Times New Roman"/>
          <w:sz w:val="24"/>
          <w:szCs w:val="24"/>
        </w:rPr>
        <w:t>Bandomoji taikomoji veikla neapima esamų produktų, gamybos linijų, gamybo</w:t>
      </w:r>
      <w:r w:rsidR="00E973B5">
        <w:rPr>
          <w:rFonts w:ascii="Times New Roman" w:hAnsi="Times New Roman" w:cs="Times New Roman"/>
          <w:sz w:val="24"/>
          <w:szCs w:val="24"/>
        </w:rPr>
        <w:t xml:space="preserve">s procesų, paslaugų ir vykdomos </w:t>
      </w:r>
      <w:r w:rsidRPr="00E973B5">
        <w:rPr>
          <w:rFonts w:ascii="Times New Roman" w:hAnsi="Times New Roman" w:cs="Times New Roman"/>
          <w:sz w:val="24"/>
          <w:szCs w:val="24"/>
        </w:rPr>
        <w:t>kitų rūšių veiklos įprastinių arba periodinių pakeitimų, net jei tokie pakei</w:t>
      </w:r>
      <w:r w:rsidR="001754E6">
        <w:rPr>
          <w:rFonts w:ascii="Times New Roman" w:hAnsi="Times New Roman" w:cs="Times New Roman"/>
          <w:sz w:val="24"/>
          <w:szCs w:val="24"/>
        </w:rPr>
        <w:t>timai gali reikšti patobulinimą;</w:t>
      </w:r>
      <w:r w:rsidR="00E973B5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487A7B" w:rsidRDefault="00487A7B" w:rsidP="00487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A7B" w:rsidRDefault="00487A7B" w:rsidP="00487A7B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Kas yra klasteris?</w:t>
      </w:r>
    </w:p>
    <w:p w:rsidR="00487A7B" w:rsidRDefault="00487A7B" w:rsidP="00487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A7B" w:rsidRDefault="00487A7B" w:rsidP="00487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A7B">
        <w:rPr>
          <w:rFonts w:ascii="Times New Roman" w:hAnsi="Times New Roman" w:cs="Times New Roman"/>
          <w:sz w:val="24"/>
          <w:szCs w:val="24"/>
        </w:rPr>
        <w:t xml:space="preserve">Aprašo </w:t>
      </w:r>
      <w:r>
        <w:rPr>
          <w:rFonts w:ascii="Times New Roman" w:hAnsi="Times New Roman" w:cs="Times New Roman"/>
          <w:sz w:val="24"/>
          <w:szCs w:val="24"/>
        </w:rPr>
        <w:t>4.4 punkte nurodoma</w:t>
      </w:r>
      <w:r w:rsidR="00796A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kad klasteris atitinka inovacijų grupės sąvoką, apibrėžtą </w:t>
      </w:r>
      <w:hyperlink r:id="rId8" w:history="1">
        <w:r w:rsidRPr="00E973B5">
          <w:rPr>
            <w:rStyle w:val="Hipersaitas"/>
            <w:rFonts w:ascii="Times New Roman" w:hAnsi="Times New Roman" w:cs="Times New Roman"/>
            <w:sz w:val="24"/>
            <w:szCs w:val="24"/>
          </w:rPr>
          <w:t>2014 m. birželio 17 d. Komisijos reglamento (</w:t>
        </w:r>
        <w:r>
          <w:rPr>
            <w:rStyle w:val="Hipersaitas"/>
            <w:rFonts w:ascii="Times New Roman" w:hAnsi="Times New Roman" w:cs="Times New Roman"/>
            <w:sz w:val="24"/>
            <w:szCs w:val="24"/>
          </w:rPr>
          <w:t xml:space="preserve">ES) Nr. 651/2014 2 straipsnio 92 </w:t>
        </w:r>
        <w:r w:rsidRPr="00E973B5">
          <w:rPr>
            <w:rStyle w:val="Hipersaitas"/>
            <w:rFonts w:ascii="Times New Roman" w:hAnsi="Times New Roman" w:cs="Times New Roman"/>
            <w:sz w:val="24"/>
            <w:szCs w:val="24"/>
          </w:rPr>
          <w:t>punkte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487A7B" w:rsidRDefault="00487A7B" w:rsidP="00487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A7B" w:rsidRDefault="00487A7B" w:rsidP="0017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87A7B">
        <w:rPr>
          <w:rFonts w:ascii="Times New Roman" w:hAnsi="Times New Roman" w:cs="Times New Roman"/>
          <w:sz w:val="24"/>
          <w:szCs w:val="24"/>
        </w:rPr>
        <w:t>inovacijų grupės – nepriklausomų šalių struktūros arba organizuotos grupės (kaip antai v</w:t>
      </w:r>
      <w:r w:rsidR="001754E6">
        <w:rPr>
          <w:rFonts w:ascii="Times New Roman" w:hAnsi="Times New Roman" w:cs="Times New Roman"/>
          <w:sz w:val="24"/>
          <w:szCs w:val="24"/>
        </w:rPr>
        <w:t xml:space="preserve">eiklą pradedančios novatoriškos </w:t>
      </w:r>
      <w:r w:rsidRPr="00487A7B">
        <w:rPr>
          <w:rFonts w:ascii="Times New Roman" w:hAnsi="Times New Roman" w:cs="Times New Roman"/>
          <w:sz w:val="24"/>
          <w:szCs w:val="24"/>
        </w:rPr>
        <w:t>įmonės, mažosios, vidutinės ir didelės įmonės, taip pat mokslinių tyrimų i</w:t>
      </w:r>
      <w:r w:rsidR="001754E6">
        <w:rPr>
          <w:rFonts w:ascii="Times New Roman" w:hAnsi="Times New Roman" w:cs="Times New Roman"/>
          <w:sz w:val="24"/>
          <w:szCs w:val="24"/>
        </w:rPr>
        <w:t xml:space="preserve">r žinių sklaidos organizacijos, </w:t>
      </w:r>
      <w:r w:rsidRPr="00487A7B">
        <w:rPr>
          <w:rFonts w:ascii="Times New Roman" w:hAnsi="Times New Roman" w:cs="Times New Roman"/>
          <w:sz w:val="24"/>
          <w:szCs w:val="24"/>
        </w:rPr>
        <w:t>ne pelno organizacijos ir kiti susiję ekonominės veiklos vykdytojai), suskurtos ino</w:t>
      </w:r>
      <w:r w:rsidR="001754E6">
        <w:rPr>
          <w:rFonts w:ascii="Times New Roman" w:hAnsi="Times New Roman" w:cs="Times New Roman"/>
          <w:sz w:val="24"/>
          <w:szCs w:val="24"/>
        </w:rPr>
        <w:t xml:space="preserve">vacijų diegimo veiklai skatinti </w:t>
      </w:r>
      <w:r w:rsidRPr="00487A7B">
        <w:rPr>
          <w:rFonts w:ascii="Times New Roman" w:hAnsi="Times New Roman" w:cs="Times New Roman"/>
          <w:sz w:val="24"/>
          <w:szCs w:val="24"/>
        </w:rPr>
        <w:t>teikiant paramą, bendrai n</w:t>
      </w:r>
      <w:r w:rsidR="001754E6">
        <w:rPr>
          <w:rFonts w:ascii="Times New Roman" w:hAnsi="Times New Roman" w:cs="Times New Roman"/>
          <w:sz w:val="24"/>
          <w:szCs w:val="24"/>
        </w:rPr>
        <w:t xml:space="preserve">audojant įrenginius, keičiantis </w:t>
      </w:r>
      <w:r w:rsidRPr="00487A7B">
        <w:rPr>
          <w:rFonts w:ascii="Times New Roman" w:hAnsi="Times New Roman" w:cs="Times New Roman"/>
          <w:sz w:val="24"/>
          <w:szCs w:val="24"/>
        </w:rPr>
        <w:lastRenderedPageBreak/>
        <w:t>žiniomis bei patirtimi ir ef</w:t>
      </w:r>
      <w:r w:rsidR="001754E6">
        <w:rPr>
          <w:rFonts w:ascii="Times New Roman" w:hAnsi="Times New Roman" w:cs="Times New Roman"/>
          <w:sz w:val="24"/>
          <w:szCs w:val="24"/>
        </w:rPr>
        <w:t xml:space="preserve">ektyviai prisidedant prie žinių </w:t>
      </w:r>
      <w:r w:rsidRPr="00487A7B">
        <w:rPr>
          <w:rFonts w:ascii="Times New Roman" w:hAnsi="Times New Roman" w:cs="Times New Roman"/>
          <w:sz w:val="24"/>
          <w:szCs w:val="24"/>
        </w:rPr>
        <w:t>perdavimo, tinklų veiklos, informacijos sklaidos ir įmonių ir kitų grupės organizac</w:t>
      </w:r>
      <w:r w:rsidR="001754E6">
        <w:rPr>
          <w:rFonts w:ascii="Times New Roman" w:hAnsi="Times New Roman" w:cs="Times New Roman"/>
          <w:sz w:val="24"/>
          <w:szCs w:val="24"/>
        </w:rPr>
        <w:t>ijų tarpusavio bendradarbiavimo;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1754E6" w:rsidRDefault="001754E6" w:rsidP="0017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A4D" w:rsidRDefault="001754E6" w:rsidP="00796A4D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4E6">
        <w:rPr>
          <w:rFonts w:ascii="Times New Roman" w:hAnsi="Times New Roman" w:cs="Times New Roman"/>
          <w:b/>
          <w:sz w:val="24"/>
          <w:szCs w:val="24"/>
        </w:rPr>
        <w:t xml:space="preserve">Kas yra </w:t>
      </w:r>
      <w:r w:rsidR="00796A4D">
        <w:rPr>
          <w:rFonts w:ascii="Times New Roman" w:hAnsi="Times New Roman" w:cs="Times New Roman"/>
          <w:b/>
          <w:sz w:val="24"/>
          <w:szCs w:val="24"/>
        </w:rPr>
        <w:t>organizacinių inovacijų diegimas?</w:t>
      </w:r>
    </w:p>
    <w:p w:rsidR="00796A4D" w:rsidRDefault="00796A4D" w:rsidP="00796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6A4D" w:rsidRDefault="00796A4D" w:rsidP="00796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Aprašo 4.7 punkte nurodoma, kad organizacinių inovacijų diegimas yra apibrėžtas </w:t>
      </w:r>
      <w:hyperlink r:id="rId9" w:history="1">
        <w:r w:rsidRPr="00E973B5">
          <w:rPr>
            <w:rStyle w:val="Hipersaitas"/>
            <w:rFonts w:ascii="Times New Roman" w:hAnsi="Times New Roman" w:cs="Times New Roman"/>
            <w:sz w:val="24"/>
            <w:szCs w:val="24"/>
          </w:rPr>
          <w:t>2014 m. birželio 17 d. Komisijos reglamento (</w:t>
        </w:r>
        <w:r>
          <w:rPr>
            <w:rStyle w:val="Hipersaitas"/>
            <w:rFonts w:ascii="Times New Roman" w:hAnsi="Times New Roman" w:cs="Times New Roman"/>
            <w:sz w:val="24"/>
            <w:szCs w:val="24"/>
          </w:rPr>
          <w:t>ES) Nr. 651/2014 2 straipsnio 96</w:t>
        </w:r>
        <w:r w:rsidRPr="00E973B5">
          <w:rPr>
            <w:rStyle w:val="Hipersaitas"/>
            <w:rFonts w:ascii="Times New Roman" w:hAnsi="Times New Roman" w:cs="Times New Roman"/>
            <w:sz w:val="24"/>
            <w:szCs w:val="24"/>
          </w:rPr>
          <w:t xml:space="preserve"> punkte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6A4D" w:rsidRDefault="00796A4D" w:rsidP="00796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A4D" w:rsidRDefault="00796A4D" w:rsidP="00796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4D">
        <w:rPr>
          <w:rFonts w:ascii="Times New Roman" w:hAnsi="Times New Roman" w:cs="Times New Roman"/>
          <w:sz w:val="24"/>
          <w:szCs w:val="24"/>
        </w:rPr>
        <w:t>„organizacinių inovacijų diegimas – naujo organizacinio metodo taikymas įmonės v</w:t>
      </w:r>
      <w:r>
        <w:rPr>
          <w:rFonts w:ascii="Times New Roman" w:hAnsi="Times New Roman" w:cs="Times New Roman"/>
          <w:sz w:val="24"/>
          <w:szCs w:val="24"/>
        </w:rPr>
        <w:t xml:space="preserve">erslo praktikoje, organizuojant </w:t>
      </w:r>
      <w:r w:rsidRPr="00796A4D">
        <w:rPr>
          <w:rFonts w:ascii="Times New Roman" w:hAnsi="Times New Roman" w:cs="Times New Roman"/>
          <w:sz w:val="24"/>
          <w:szCs w:val="24"/>
        </w:rPr>
        <w:t xml:space="preserve">darbo vietas arba išorės santykių srityse, išskyrus pokyčius, paremtus įmonėje </w:t>
      </w:r>
      <w:r>
        <w:rPr>
          <w:rFonts w:ascii="Times New Roman" w:hAnsi="Times New Roman" w:cs="Times New Roman"/>
          <w:sz w:val="24"/>
          <w:szCs w:val="24"/>
        </w:rPr>
        <w:t xml:space="preserve">jau naudojamais organizaciniais </w:t>
      </w:r>
      <w:r w:rsidRPr="00796A4D">
        <w:rPr>
          <w:rFonts w:ascii="Times New Roman" w:hAnsi="Times New Roman" w:cs="Times New Roman"/>
          <w:sz w:val="24"/>
          <w:szCs w:val="24"/>
        </w:rPr>
        <w:t>metodais, valdymo strategijos pokyčius, jungimąsi ir įsigijimą, procesų nebetaiky</w:t>
      </w:r>
      <w:r>
        <w:rPr>
          <w:rFonts w:ascii="Times New Roman" w:hAnsi="Times New Roman" w:cs="Times New Roman"/>
          <w:sz w:val="24"/>
          <w:szCs w:val="24"/>
        </w:rPr>
        <w:t xml:space="preserve">mą, paprastą kapitalo pakeitimą </w:t>
      </w:r>
      <w:r w:rsidRPr="00796A4D">
        <w:rPr>
          <w:rFonts w:ascii="Times New Roman" w:hAnsi="Times New Roman" w:cs="Times New Roman"/>
          <w:sz w:val="24"/>
          <w:szCs w:val="24"/>
        </w:rPr>
        <w:t xml:space="preserve">arba padidinimą, pokyčius, susijusius tik su gamyklos kainų kitimu, gamybą pagal užsakymą, lokalizavimą, reguliarius </w:t>
      </w:r>
      <w:r>
        <w:rPr>
          <w:rFonts w:ascii="Times New Roman" w:hAnsi="Times New Roman" w:cs="Times New Roman"/>
          <w:sz w:val="24"/>
          <w:szCs w:val="24"/>
        </w:rPr>
        <w:t xml:space="preserve">sezoninius ir kitus cikliškus </w:t>
      </w:r>
      <w:r w:rsidRPr="00796A4D">
        <w:rPr>
          <w:rFonts w:ascii="Times New Roman" w:hAnsi="Times New Roman" w:cs="Times New Roman"/>
          <w:sz w:val="24"/>
          <w:szCs w:val="24"/>
        </w:rPr>
        <w:t>pokyčius, prekybą naujais arba labai patobulintais gaminiais;“</w:t>
      </w:r>
    </w:p>
    <w:p w:rsidR="00796A4D" w:rsidRPr="00796A4D" w:rsidRDefault="00796A4D" w:rsidP="00796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A4D" w:rsidRPr="00796A4D" w:rsidRDefault="00796A4D" w:rsidP="00796A4D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A4D">
        <w:rPr>
          <w:rFonts w:ascii="Times New Roman" w:hAnsi="Times New Roman" w:cs="Times New Roman"/>
          <w:b/>
          <w:sz w:val="24"/>
          <w:szCs w:val="24"/>
        </w:rPr>
        <w:t xml:space="preserve">Kas yra procesų inovacijų diegimas? </w:t>
      </w:r>
    </w:p>
    <w:p w:rsidR="00796A4D" w:rsidRDefault="00796A4D" w:rsidP="00796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A4D" w:rsidRDefault="00796A4D" w:rsidP="00796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Aprašo 4.8 punkte nurodoma, kad procesų inovacijų diegimas yra apibrėžtas </w:t>
      </w:r>
      <w:hyperlink r:id="rId10" w:history="1">
        <w:r w:rsidRPr="00E973B5">
          <w:rPr>
            <w:rStyle w:val="Hipersaitas"/>
            <w:rFonts w:ascii="Times New Roman" w:hAnsi="Times New Roman" w:cs="Times New Roman"/>
            <w:sz w:val="24"/>
            <w:szCs w:val="24"/>
          </w:rPr>
          <w:t>2014 m. birželio 17 d. Komisijos reglamento (</w:t>
        </w:r>
        <w:r>
          <w:rPr>
            <w:rStyle w:val="Hipersaitas"/>
            <w:rFonts w:ascii="Times New Roman" w:hAnsi="Times New Roman" w:cs="Times New Roman"/>
            <w:sz w:val="24"/>
            <w:szCs w:val="24"/>
          </w:rPr>
          <w:t>ES) Nr. 651/2014 2 straipsnio 97</w:t>
        </w:r>
        <w:r w:rsidRPr="00E973B5">
          <w:rPr>
            <w:rStyle w:val="Hipersaitas"/>
            <w:rFonts w:ascii="Times New Roman" w:hAnsi="Times New Roman" w:cs="Times New Roman"/>
            <w:sz w:val="24"/>
            <w:szCs w:val="24"/>
          </w:rPr>
          <w:t xml:space="preserve"> punkte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796A4D" w:rsidRDefault="00796A4D" w:rsidP="00796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A4D" w:rsidRDefault="00796A4D" w:rsidP="00796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A4D">
        <w:rPr>
          <w:rFonts w:ascii="Times New Roman" w:hAnsi="Times New Roman" w:cs="Times New Roman"/>
          <w:sz w:val="24"/>
          <w:szCs w:val="24"/>
        </w:rPr>
        <w:t>„procesų inovacijų diegimas – naujo arba labai patobulinto gamybos arba pateikimo bū</w:t>
      </w:r>
      <w:r>
        <w:rPr>
          <w:rFonts w:ascii="Times New Roman" w:hAnsi="Times New Roman" w:cs="Times New Roman"/>
          <w:sz w:val="24"/>
          <w:szCs w:val="24"/>
        </w:rPr>
        <w:t xml:space="preserve">do diegimas (įskaitant svarbius </w:t>
      </w:r>
      <w:r w:rsidRPr="00796A4D">
        <w:rPr>
          <w:rFonts w:ascii="Times New Roman" w:hAnsi="Times New Roman" w:cs="Times New Roman"/>
          <w:sz w:val="24"/>
          <w:szCs w:val="24"/>
        </w:rPr>
        <w:t>technologijų, įrenginių arba programinės įrangos pakeitimus), išskyrus nedideli</w:t>
      </w:r>
      <w:r>
        <w:rPr>
          <w:rFonts w:ascii="Times New Roman" w:hAnsi="Times New Roman" w:cs="Times New Roman"/>
          <w:sz w:val="24"/>
          <w:szCs w:val="24"/>
        </w:rPr>
        <w:t xml:space="preserve">us pokyčius arba patobulinimus, </w:t>
      </w:r>
      <w:r w:rsidRPr="00796A4D">
        <w:rPr>
          <w:rFonts w:ascii="Times New Roman" w:hAnsi="Times New Roman" w:cs="Times New Roman"/>
          <w:sz w:val="24"/>
          <w:szCs w:val="24"/>
        </w:rPr>
        <w:t xml:space="preserve">gamybinių arba aptarnavimo </w:t>
      </w:r>
      <w:proofErr w:type="spellStart"/>
      <w:r w:rsidRPr="00796A4D">
        <w:rPr>
          <w:rFonts w:ascii="Times New Roman" w:hAnsi="Times New Roman" w:cs="Times New Roman"/>
          <w:sz w:val="24"/>
          <w:szCs w:val="24"/>
        </w:rPr>
        <w:t>pajėgumų</w:t>
      </w:r>
      <w:proofErr w:type="spellEnd"/>
      <w:r w:rsidRPr="00796A4D">
        <w:rPr>
          <w:rFonts w:ascii="Times New Roman" w:hAnsi="Times New Roman" w:cs="Times New Roman"/>
          <w:sz w:val="24"/>
          <w:szCs w:val="24"/>
        </w:rPr>
        <w:t xml:space="preserve"> didinimą, įdiegiant papildomas ga</w:t>
      </w:r>
      <w:r>
        <w:rPr>
          <w:rFonts w:ascii="Times New Roman" w:hAnsi="Times New Roman" w:cs="Times New Roman"/>
          <w:sz w:val="24"/>
          <w:szCs w:val="24"/>
        </w:rPr>
        <w:t xml:space="preserve">mybos arba logistikos sistemas, </w:t>
      </w:r>
      <w:r w:rsidRPr="00796A4D">
        <w:rPr>
          <w:rFonts w:ascii="Times New Roman" w:hAnsi="Times New Roman" w:cs="Times New Roman"/>
          <w:sz w:val="24"/>
          <w:szCs w:val="24"/>
        </w:rPr>
        <w:t>labai pan</w:t>
      </w:r>
      <w:r>
        <w:rPr>
          <w:rFonts w:ascii="Times New Roman" w:hAnsi="Times New Roman" w:cs="Times New Roman"/>
          <w:sz w:val="24"/>
          <w:szCs w:val="24"/>
        </w:rPr>
        <w:t xml:space="preserve">ašias į jau naudojamas, procesų </w:t>
      </w:r>
      <w:r w:rsidRPr="00796A4D">
        <w:rPr>
          <w:rFonts w:ascii="Times New Roman" w:hAnsi="Times New Roman" w:cs="Times New Roman"/>
          <w:sz w:val="24"/>
          <w:szCs w:val="24"/>
        </w:rPr>
        <w:t>nebetaikymą, paprastą kapitalo pakei</w:t>
      </w:r>
      <w:r>
        <w:rPr>
          <w:rFonts w:ascii="Times New Roman" w:hAnsi="Times New Roman" w:cs="Times New Roman"/>
          <w:sz w:val="24"/>
          <w:szCs w:val="24"/>
        </w:rPr>
        <w:t xml:space="preserve">timą arba padidinimą, pokyčius, susijusius tik su gamyklos </w:t>
      </w:r>
      <w:r w:rsidRPr="00796A4D">
        <w:rPr>
          <w:rFonts w:ascii="Times New Roman" w:hAnsi="Times New Roman" w:cs="Times New Roman"/>
          <w:sz w:val="24"/>
          <w:szCs w:val="24"/>
        </w:rPr>
        <w:t xml:space="preserve">kainų kitimu, gamybą pagal užsakymą, lokalizavimą, </w:t>
      </w:r>
      <w:r>
        <w:rPr>
          <w:rFonts w:ascii="Times New Roman" w:hAnsi="Times New Roman" w:cs="Times New Roman"/>
          <w:sz w:val="24"/>
          <w:szCs w:val="24"/>
        </w:rPr>
        <w:t xml:space="preserve">reguliarius sezoninius ir kitus </w:t>
      </w:r>
      <w:r w:rsidRPr="00796A4D">
        <w:rPr>
          <w:rFonts w:ascii="Times New Roman" w:hAnsi="Times New Roman" w:cs="Times New Roman"/>
          <w:sz w:val="24"/>
          <w:szCs w:val="24"/>
        </w:rPr>
        <w:t>cikliškus pokyčius, prekybą naujais arba labai patobulintais gaminiais;“</w:t>
      </w:r>
    </w:p>
    <w:p w:rsidR="00796A4D" w:rsidRDefault="00796A4D" w:rsidP="00796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A4D" w:rsidRDefault="00400CC3" w:rsidP="00796A4D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0CC3">
        <w:rPr>
          <w:rFonts w:ascii="Times New Roman" w:hAnsi="Times New Roman" w:cs="Times New Roman"/>
          <w:b/>
          <w:sz w:val="24"/>
          <w:szCs w:val="24"/>
        </w:rPr>
        <w:t>Kas yra juridiniai asmenys, eksploatuojantys klasterį?</w:t>
      </w:r>
    </w:p>
    <w:p w:rsidR="00400CC3" w:rsidRDefault="00400CC3" w:rsidP="00400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16F" w:rsidRDefault="0005616F" w:rsidP="00056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Aprašo 4.3 punkte nurodoma, kad juridiniai asmenys, eksploatuojantys klasterį yra apibrėžti </w:t>
      </w:r>
      <w:hyperlink r:id="rId11" w:history="1">
        <w:r w:rsidRPr="00E973B5">
          <w:rPr>
            <w:rStyle w:val="Hipersaitas"/>
            <w:rFonts w:ascii="Times New Roman" w:hAnsi="Times New Roman" w:cs="Times New Roman"/>
            <w:sz w:val="24"/>
            <w:szCs w:val="24"/>
          </w:rPr>
          <w:t>2014 m. birželio 17 d. Komisijos reglamento (</w:t>
        </w:r>
        <w:r>
          <w:rPr>
            <w:rStyle w:val="Hipersaitas"/>
            <w:rFonts w:ascii="Times New Roman" w:hAnsi="Times New Roman" w:cs="Times New Roman"/>
            <w:sz w:val="24"/>
            <w:szCs w:val="24"/>
          </w:rPr>
          <w:t>ES) Nr. 651/2014 27 straipsnio 2 dalyje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616F" w:rsidRDefault="0005616F" w:rsidP="00056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16F" w:rsidRDefault="0005616F" w:rsidP="00056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16F">
        <w:rPr>
          <w:rFonts w:ascii="Times New Roman" w:hAnsi="Times New Roman" w:cs="Times New Roman"/>
          <w:sz w:val="24"/>
          <w:szCs w:val="24"/>
        </w:rPr>
        <w:t>„pagalba inovacijų grupėms teikiama tik inovacijų grupę (grupių organizaciją) eksploatuojančiam juridiniam asmeniui.“</w:t>
      </w:r>
    </w:p>
    <w:p w:rsidR="004B516B" w:rsidRDefault="004B516B" w:rsidP="00056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16B" w:rsidRDefault="004B516B" w:rsidP="004B516B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16B">
        <w:rPr>
          <w:rFonts w:ascii="Times New Roman" w:hAnsi="Times New Roman" w:cs="Times New Roman"/>
          <w:b/>
          <w:sz w:val="24"/>
          <w:szCs w:val="24"/>
        </w:rPr>
        <w:t>Kokioms sritims finansavimas negali būti skirtas?</w:t>
      </w:r>
    </w:p>
    <w:p w:rsidR="00241FCB" w:rsidRDefault="00241FCB" w:rsidP="004B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516B" w:rsidRDefault="00241FCB" w:rsidP="004B516B">
      <w:pPr>
        <w:autoSpaceDE w:val="0"/>
        <w:autoSpaceDN w:val="0"/>
        <w:adjustRightInd w:val="0"/>
        <w:spacing w:after="0" w:line="240" w:lineRule="auto"/>
        <w:rPr>
          <w:rStyle w:val="Hipersaitas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Finansavimas negalimas sritimis, kurios nurodytos 2013 m. gruodžio 17 d. Europos Parlamento ir Tarybos reglamento (ES) Nr. 1301/2013 3 straipsnio 3 dalyje ir </w:t>
      </w:r>
      <w:r w:rsidR="004B516B" w:rsidRPr="004B516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" w:history="1">
        <w:r w:rsidRPr="00E973B5">
          <w:rPr>
            <w:rStyle w:val="Hipersaitas"/>
            <w:rFonts w:ascii="Times New Roman" w:hAnsi="Times New Roman" w:cs="Times New Roman"/>
            <w:sz w:val="24"/>
            <w:szCs w:val="24"/>
          </w:rPr>
          <w:t>2014 m. birželio 17 d. Komisijos reglamento (</w:t>
        </w:r>
        <w:r>
          <w:rPr>
            <w:rStyle w:val="Hipersaitas"/>
            <w:rFonts w:ascii="Times New Roman" w:hAnsi="Times New Roman" w:cs="Times New Roman"/>
            <w:sz w:val="24"/>
            <w:szCs w:val="24"/>
          </w:rPr>
          <w:t xml:space="preserve">ES) Nr. 651/2014 </w:t>
        </w:r>
        <w:r w:rsidR="00CF6CF2">
          <w:rPr>
            <w:rStyle w:val="Hipersaitas"/>
            <w:rFonts w:ascii="Times New Roman" w:hAnsi="Times New Roman" w:cs="Times New Roman"/>
            <w:sz w:val="24"/>
            <w:szCs w:val="24"/>
          </w:rPr>
          <w:t>1 straipsnio 2-5 dalyse ir 4 straipsnyje.</w:t>
        </w:r>
      </w:hyperlink>
    </w:p>
    <w:p w:rsidR="002B1564" w:rsidRDefault="002B1564" w:rsidP="004B516B">
      <w:pPr>
        <w:autoSpaceDE w:val="0"/>
        <w:autoSpaceDN w:val="0"/>
        <w:adjustRightInd w:val="0"/>
        <w:spacing w:after="0" w:line="240" w:lineRule="auto"/>
        <w:rPr>
          <w:rStyle w:val="Hipersaitas"/>
          <w:rFonts w:ascii="Times New Roman" w:hAnsi="Times New Roman" w:cs="Times New Roman"/>
          <w:sz w:val="24"/>
          <w:szCs w:val="24"/>
        </w:rPr>
      </w:pPr>
    </w:p>
    <w:p w:rsidR="002B1564" w:rsidRDefault="002B1564" w:rsidP="002B1564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 juridinis asmuo, eksploatuojantis klasterį yra tas pats, kaip ir klasterio koordinatorius? </w:t>
      </w:r>
    </w:p>
    <w:p w:rsidR="002B1564" w:rsidRDefault="002B1564" w:rsidP="002B1564">
      <w:pPr>
        <w:pStyle w:val="Sraopastraip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564" w:rsidRDefault="002B1564" w:rsidP="002B1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Taip.</w:t>
      </w:r>
    </w:p>
    <w:p w:rsidR="002B1564" w:rsidRDefault="002B1564" w:rsidP="002B1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564" w:rsidRDefault="002B1564" w:rsidP="002B1564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564">
        <w:rPr>
          <w:rFonts w:ascii="Times New Roman" w:hAnsi="Times New Roman" w:cs="Times New Roman"/>
          <w:b/>
          <w:sz w:val="24"/>
          <w:szCs w:val="24"/>
        </w:rPr>
        <w:t xml:space="preserve">Ar ta pati </w:t>
      </w:r>
      <w:r>
        <w:rPr>
          <w:rFonts w:ascii="Times New Roman" w:hAnsi="Times New Roman" w:cs="Times New Roman"/>
          <w:b/>
          <w:sz w:val="24"/>
          <w:szCs w:val="24"/>
        </w:rPr>
        <w:t>asociacija galėtų būti pareiškėju kelis kartus?</w:t>
      </w:r>
    </w:p>
    <w:p w:rsidR="002B1564" w:rsidRDefault="002B1564" w:rsidP="002B1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564" w:rsidRPr="002B1564" w:rsidRDefault="002B1564" w:rsidP="002B1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564">
        <w:rPr>
          <w:rFonts w:ascii="Times New Roman" w:hAnsi="Times New Roman" w:cs="Times New Roman"/>
          <w:sz w:val="24"/>
          <w:szCs w:val="24"/>
        </w:rPr>
        <w:t>Taip.</w:t>
      </w:r>
    </w:p>
    <w:p w:rsidR="00400CC3" w:rsidRDefault="00400CC3" w:rsidP="00400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CF2" w:rsidRDefault="00CF6CF2" w:rsidP="00CF6CF2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20D">
        <w:rPr>
          <w:rFonts w:ascii="Times New Roman" w:hAnsi="Times New Roman" w:cs="Times New Roman"/>
          <w:b/>
          <w:sz w:val="24"/>
          <w:szCs w:val="24"/>
        </w:rPr>
        <w:t>Aprašo 21.4 punkte nurodyta, kad „klasteriai planuojantys investicijas į MTEPI infrastruktūrą privalo turėti klasterio MTEPI veiklų planą 3 metams, kuriame būtų numatyti įsipareigojimai dėl jo vykdymo“</w:t>
      </w:r>
      <w:r w:rsidR="00953B94" w:rsidRPr="00B2120D">
        <w:rPr>
          <w:rFonts w:ascii="Times New Roman" w:hAnsi="Times New Roman" w:cs="Times New Roman"/>
          <w:b/>
          <w:sz w:val="24"/>
          <w:szCs w:val="24"/>
        </w:rPr>
        <w:t xml:space="preserve">. Kurie turi būti pradiniai šio plano metai? </w:t>
      </w:r>
    </w:p>
    <w:p w:rsidR="002B1564" w:rsidRDefault="002B1564" w:rsidP="002B1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564" w:rsidRPr="002B1564" w:rsidRDefault="002B1564" w:rsidP="002B1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564">
        <w:rPr>
          <w:rFonts w:ascii="Times New Roman" w:hAnsi="Times New Roman" w:cs="Times New Roman"/>
          <w:sz w:val="24"/>
          <w:szCs w:val="24"/>
        </w:rPr>
        <w:t xml:space="preserve">Šie metai nustatomi priklausomai nuo to, kada atliekamos pirmosios investicijos į MTEPI infrastruktūrą. </w:t>
      </w:r>
    </w:p>
    <w:p w:rsidR="00953B94" w:rsidRPr="00B2120D" w:rsidRDefault="00953B94" w:rsidP="0095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B94" w:rsidRDefault="00035C2B" w:rsidP="00953B94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20D">
        <w:rPr>
          <w:rFonts w:ascii="Times New Roman" w:hAnsi="Times New Roman" w:cs="Times New Roman"/>
          <w:b/>
          <w:sz w:val="24"/>
          <w:szCs w:val="24"/>
        </w:rPr>
        <w:t>Kelių 2016 m. ketvirčių finansinės atskaitomybės dokumentus reikia pateikti?</w:t>
      </w:r>
    </w:p>
    <w:p w:rsidR="002B1564" w:rsidRDefault="002B1564" w:rsidP="002B1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564" w:rsidRPr="002B1564" w:rsidRDefault="002B1564" w:rsidP="002B1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564">
        <w:rPr>
          <w:rFonts w:ascii="Times New Roman" w:hAnsi="Times New Roman" w:cs="Times New Roman"/>
          <w:sz w:val="24"/>
          <w:szCs w:val="24"/>
        </w:rPr>
        <w:t xml:space="preserve">2016 m. I ir II ketvirčių. </w:t>
      </w:r>
    </w:p>
    <w:p w:rsidR="00035C2B" w:rsidRPr="00B2120D" w:rsidRDefault="00035C2B" w:rsidP="00035C2B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</w:p>
    <w:p w:rsidR="00035C2B" w:rsidRDefault="00035C2B" w:rsidP="00953B94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20D">
        <w:rPr>
          <w:rFonts w:ascii="Times New Roman" w:hAnsi="Times New Roman" w:cs="Times New Roman"/>
          <w:b/>
          <w:sz w:val="24"/>
          <w:szCs w:val="24"/>
        </w:rPr>
        <w:t xml:space="preserve">Aprašo 55.7 punkte prašoma pateikti nepriklausomų klasterio narių, vykdančių MTEPI veiklas, Lietuvos statistikos departamentui ir VMI teiktas deklaracijas, pažymas, dokumentus, patvirtinančius MTEPI veiklų vykdymą. </w:t>
      </w:r>
      <w:r w:rsidR="006E38C0" w:rsidRPr="00B2120D">
        <w:rPr>
          <w:rFonts w:ascii="Times New Roman" w:hAnsi="Times New Roman" w:cs="Times New Roman"/>
          <w:b/>
          <w:sz w:val="24"/>
          <w:szCs w:val="24"/>
        </w:rPr>
        <w:t>Už kurį laiką turi būti pateiktos šios pažymos</w:t>
      </w:r>
      <w:r w:rsidR="002B1564">
        <w:rPr>
          <w:rFonts w:ascii="Times New Roman" w:hAnsi="Times New Roman" w:cs="Times New Roman"/>
          <w:b/>
          <w:sz w:val="24"/>
          <w:szCs w:val="24"/>
        </w:rPr>
        <w:t>?</w:t>
      </w:r>
    </w:p>
    <w:p w:rsidR="002B1564" w:rsidRDefault="002B1564" w:rsidP="002B1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564" w:rsidRPr="002B1564" w:rsidRDefault="002B1564" w:rsidP="002B1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Šis informacija reikalinga už 2015 m. </w:t>
      </w:r>
    </w:p>
    <w:p w:rsidR="006E38C0" w:rsidRPr="00B2120D" w:rsidRDefault="006E38C0" w:rsidP="006E38C0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</w:p>
    <w:p w:rsidR="006E38C0" w:rsidRDefault="006E38C0" w:rsidP="00953B94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20D">
        <w:rPr>
          <w:rFonts w:ascii="Times New Roman" w:hAnsi="Times New Roman" w:cs="Times New Roman"/>
          <w:b/>
          <w:sz w:val="24"/>
          <w:szCs w:val="24"/>
        </w:rPr>
        <w:t>Ar projekto įgyvendinimo metu ir po projekto atsiradusių naujų klasterio narių išlaidos bus įskaičiuojamos vertinant Aprašo 2 priedo 2 kriterijų?</w:t>
      </w:r>
    </w:p>
    <w:p w:rsidR="002B1564" w:rsidRPr="002B1564" w:rsidRDefault="002B1564" w:rsidP="002B1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564" w:rsidRPr="002B1564" w:rsidRDefault="002B1564" w:rsidP="002B1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564">
        <w:rPr>
          <w:rFonts w:ascii="Times New Roman" w:hAnsi="Times New Roman" w:cs="Times New Roman"/>
          <w:sz w:val="24"/>
          <w:szCs w:val="24"/>
        </w:rPr>
        <w:t>Taip.</w:t>
      </w:r>
    </w:p>
    <w:p w:rsidR="0041214D" w:rsidRPr="00B2120D" w:rsidRDefault="0041214D" w:rsidP="0041214D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</w:p>
    <w:p w:rsidR="0041214D" w:rsidRDefault="0041214D" w:rsidP="00953B94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20D">
        <w:rPr>
          <w:rFonts w:ascii="Times New Roman" w:hAnsi="Times New Roman" w:cs="Times New Roman"/>
          <w:b/>
          <w:sz w:val="24"/>
          <w:szCs w:val="24"/>
        </w:rPr>
        <w:t>Per kurį laiką klasteris turi įsijungti į tarptautinį tinklą, siekdamas gauti didesnį balą pagal Aprašo 2 priedo 4 kriterijaus 1 dalį?</w:t>
      </w:r>
    </w:p>
    <w:p w:rsidR="002B1564" w:rsidRDefault="002B1564" w:rsidP="002B1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7F2D" w:rsidRDefault="00B17F2D" w:rsidP="00B17F2D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Jei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klasteris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pateikia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duomenis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prisijungimą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ketinimų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prisijungti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tarptautinio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tinklo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protokolą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jame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būti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nurodyta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planuojamo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prisijungimo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data, ne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vėlesnė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projekto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įgyvendinimo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laikotarpis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finansavimo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skyrimo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atveju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į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projekto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finansavimo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administravimo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sutarties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specialiąsias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sąlygas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įrašoma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data,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klasteris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planuoja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prisijungti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tarptautinio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tinkle.  </w:t>
      </w:r>
    </w:p>
    <w:p w:rsidR="0041214D" w:rsidRPr="00B2120D" w:rsidRDefault="0041214D" w:rsidP="0041214D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</w:p>
    <w:p w:rsidR="0041214D" w:rsidRDefault="0041214D" w:rsidP="00953B94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20D">
        <w:rPr>
          <w:rFonts w:ascii="Times New Roman" w:hAnsi="Times New Roman" w:cs="Times New Roman"/>
          <w:b/>
          <w:sz w:val="24"/>
          <w:szCs w:val="24"/>
        </w:rPr>
        <w:t>Ar Aprašo 2 priedo 5 kriterijaus atveju balai skiriami automatiškai, jeigu projektas atitinka kitus kriterijus?</w:t>
      </w:r>
    </w:p>
    <w:p w:rsidR="00B17F2D" w:rsidRDefault="00B17F2D" w:rsidP="00B17F2D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B1564" w:rsidRDefault="00B17F2D" w:rsidP="00B17F2D">
      <w:pPr>
        <w:autoSpaceDE w:val="0"/>
        <w:autoSpaceDN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Ne,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balai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neskiriami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automatiškai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atitikimas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kriterijaus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reikalavimas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įvertinamas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B17F2D" w:rsidRPr="00B17F2D" w:rsidRDefault="00B17F2D" w:rsidP="00B17F2D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B17F2D" w:rsidRPr="00B17F2D" w:rsidRDefault="00B17F2D" w:rsidP="00B17F2D">
      <w:pPr>
        <w:pStyle w:val="Sraopastraipa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B17F2D">
        <w:rPr>
          <w:rFonts w:ascii="Times New Roman" w:hAnsi="Times New Roman" w:cs="Times New Roman"/>
          <w:b/>
          <w:sz w:val="24"/>
          <w:szCs w:val="24"/>
        </w:rPr>
        <w:t>Kas laikoma tarptautiniu tinklu?</w:t>
      </w:r>
    </w:p>
    <w:p w:rsidR="00B17F2D" w:rsidRDefault="00B17F2D" w:rsidP="00B17F2D">
      <w:pPr>
        <w:rPr>
          <w:rFonts w:ascii="Times New Roman" w:hAnsi="Times New Roman" w:cs="Times New Roman"/>
          <w:sz w:val="24"/>
          <w:szCs w:val="24"/>
        </w:rPr>
      </w:pPr>
      <w:r w:rsidRPr="00B17F2D">
        <w:rPr>
          <w:rFonts w:ascii="Times New Roman" w:hAnsi="Times New Roman" w:cs="Times New Roman"/>
          <w:sz w:val="24"/>
          <w:szCs w:val="24"/>
        </w:rPr>
        <w:t>Tarptautinis tinklas suprantamas plačiąja prasme: tai gali būti dalyvavimas tarptautinės organizacijos veikloje, tam tikroje bendradarbiavimo platformoje MTEPI srityje, taip pat dalyvavimas tarptautinėse programose, įvairiuose tarptautiniuose projektuose, vertės kūrimo grandinėse ir pan.</w:t>
      </w:r>
    </w:p>
    <w:p w:rsidR="00DB3EF9" w:rsidRDefault="00DB3EF9" w:rsidP="00B17F2D">
      <w:pPr>
        <w:rPr>
          <w:rFonts w:ascii="Times New Roman" w:hAnsi="Times New Roman" w:cs="Times New Roman"/>
          <w:sz w:val="24"/>
          <w:szCs w:val="24"/>
        </w:rPr>
      </w:pPr>
    </w:p>
    <w:p w:rsidR="00DB3EF9" w:rsidRPr="00757070" w:rsidRDefault="00DB3EF9" w:rsidP="00DB3EF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3EF9">
        <w:rPr>
          <w:rFonts w:ascii="Times New Roman" w:hAnsi="Times New Roman" w:cs="Times New Roman"/>
          <w:b/>
          <w:sz w:val="24"/>
          <w:szCs w:val="24"/>
        </w:rPr>
        <w:lastRenderedPageBreak/>
        <w:t>Ar tai, kad į Lietuvoje veikiantį klasterį yra pritrauktas narys(-</w:t>
      </w:r>
      <w:proofErr w:type="spellStart"/>
      <w:r w:rsidRPr="00DB3EF9">
        <w:rPr>
          <w:rFonts w:ascii="Times New Roman" w:hAnsi="Times New Roman" w:cs="Times New Roman"/>
          <w:b/>
          <w:sz w:val="24"/>
          <w:szCs w:val="24"/>
        </w:rPr>
        <w:t>iai</w:t>
      </w:r>
      <w:proofErr w:type="spellEnd"/>
      <w:r w:rsidRPr="00DB3EF9">
        <w:rPr>
          <w:rFonts w:ascii="Times New Roman" w:hAnsi="Times New Roman" w:cs="Times New Roman"/>
          <w:b/>
          <w:sz w:val="24"/>
          <w:szCs w:val="24"/>
        </w:rPr>
        <w:t>) iš užsienio būtų laikoma, kad tai yra tarptautinis tinklas ir tokiam projektui būtų galima suteikti balus?</w:t>
      </w:r>
      <w:bookmarkStart w:id="0" w:name="_GoBack"/>
      <w:bookmarkEnd w:id="0"/>
    </w:p>
    <w:p w:rsidR="00757070" w:rsidRPr="00DB3EF9" w:rsidRDefault="00757070" w:rsidP="00757070">
      <w:pPr>
        <w:pStyle w:val="Sraopastraipa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7070" w:rsidRPr="00757070" w:rsidRDefault="00757070" w:rsidP="00757070">
      <w:pPr>
        <w:ind w:left="360"/>
        <w:rPr>
          <w:rFonts w:ascii="Times New Roman" w:hAnsi="Times New Roman"/>
          <w:sz w:val="24"/>
          <w:szCs w:val="24"/>
          <w:lang w:val="en-US"/>
        </w:rPr>
      </w:pPr>
      <w:r w:rsidRPr="00757070">
        <w:rPr>
          <w:rFonts w:ascii="Times New Roman" w:hAnsi="Times New Roman"/>
          <w:sz w:val="24"/>
          <w:szCs w:val="24"/>
          <w:lang w:val="en-US"/>
        </w:rPr>
        <w:t xml:space="preserve">Ne, </w:t>
      </w:r>
      <w:proofErr w:type="gramStart"/>
      <w:r w:rsidRPr="00757070">
        <w:rPr>
          <w:rFonts w:ascii="Times New Roman" w:hAnsi="Times New Roman"/>
          <w:sz w:val="24"/>
          <w:szCs w:val="24"/>
          <w:lang w:val="en-US"/>
        </w:rPr>
        <w:t>tai</w:t>
      </w:r>
      <w:proofErr w:type="gramEnd"/>
      <w:r w:rsidRPr="007570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7070">
        <w:rPr>
          <w:rFonts w:ascii="Times New Roman" w:hAnsi="Times New Roman"/>
          <w:sz w:val="24"/>
          <w:szCs w:val="24"/>
          <w:lang w:val="en-US"/>
        </w:rPr>
        <w:t>nebūtų</w:t>
      </w:r>
      <w:proofErr w:type="spellEnd"/>
      <w:r w:rsidRPr="007570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7070">
        <w:rPr>
          <w:rFonts w:ascii="Times New Roman" w:hAnsi="Times New Roman"/>
          <w:sz w:val="24"/>
          <w:szCs w:val="24"/>
          <w:lang w:val="en-US"/>
        </w:rPr>
        <w:t>laikoma</w:t>
      </w:r>
      <w:proofErr w:type="spellEnd"/>
      <w:r w:rsidRPr="007570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7070">
        <w:rPr>
          <w:rFonts w:ascii="Times New Roman" w:hAnsi="Times New Roman"/>
          <w:sz w:val="24"/>
          <w:szCs w:val="24"/>
          <w:lang w:val="en-US"/>
        </w:rPr>
        <w:t>įsitraukimu</w:t>
      </w:r>
      <w:proofErr w:type="spellEnd"/>
      <w:r w:rsidRPr="00757070">
        <w:rPr>
          <w:rFonts w:ascii="Times New Roman" w:hAnsi="Times New Roman"/>
          <w:sz w:val="24"/>
          <w:szCs w:val="24"/>
          <w:lang w:val="en-US"/>
        </w:rPr>
        <w:t xml:space="preserve"> į </w:t>
      </w:r>
      <w:proofErr w:type="spellStart"/>
      <w:r w:rsidRPr="00757070">
        <w:rPr>
          <w:rFonts w:ascii="Times New Roman" w:hAnsi="Times New Roman"/>
          <w:sz w:val="24"/>
          <w:szCs w:val="24"/>
          <w:lang w:val="en-US"/>
        </w:rPr>
        <w:t>tarptautinį</w:t>
      </w:r>
      <w:proofErr w:type="spellEnd"/>
      <w:r w:rsidRPr="007570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7070">
        <w:rPr>
          <w:rFonts w:ascii="Times New Roman" w:hAnsi="Times New Roman"/>
          <w:sz w:val="24"/>
          <w:szCs w:val="24"/>
          <w:lang w:val="en-US"/>
        </w:rPr>
        <w:t>tinklą</w:t>
      </w:r>
      <w:proofErr w:type="spellEnd"/>
      <w:r w:rsidRPr="00757070">
        <w:rPr>
          <w:rFonts w:ascii="Times New Roman" w:hAnsi="Times New Roman"/>
          <w:sz w:val="24"/>
          <w:szCs w:val="24"/>
          <w:lang w:val="en-US"/>
        </w:rPr>
        <w:t>.</w:t>
      </w:r>
    </w:p>
    <w:p w:rsidR="00DB3EF9" w:rsidRPr="00DB3EF9" w:rsidRDefault="00DB3EF9" w:rsidP="00DB3EF9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17F2D" w:rsidRPr="00B17F2D" w:rsidRDefault="00B17F2D" w:rsidP="00B17F2D">
      <w:pPr>
        <w:pStyle w:val="Sraopastraipa"/>
        <w:autoSpaceDE w:val="0"/>
        <w:autoSpaceDN w:val="0"/>
        <w:rPr>
          <w:rFonts w:ascii="Times New Roman" w:hAnsi="Times New Roman"/>
          <w:sz w:val="24"/>
          <w:szCs w:val="24"/>
          <w:lang w:val="en-US"/>
        </w:rPr>
      </w:pPr>
    </w:p>
    <w:p w:rsidR="002B1564" w:rsidRDefault="002B1564" w:rsidP="002B1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8C0" w:rsidRPr="00B17F2D" w:rsidRDefault="006E38C0" w:rsidP="00B17F2D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6E38C0" w:rsidRPr="00B17F2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E0112"/>
    <w:multiLevelType w:val="hybridMultilevel"/>
    <w:tmpl w:val="D56C26F0"/>
    <w:lvl w:ilvl="0" w:tplc="237EE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4D"/>
    <w:rsid w:val="00035C2B"/>
    <w:rsid w:val="0005616F"/>
    <w:rsid w:val="001754E6"/>
    <w:rsid w:val="00241FCB"/>
    <w:rsid w:val="00291AFE"/>
    <w:rsid w:val="002B1564"/>
    <w:rsid w:val="00396CC7"/>
    <w:rsid w:val="003D5EDA"/>
    <w:rsid w:val="00400CC3"/>
    <w:rsid w:val="0041214D"/>
    <w:rsid w:val="00464AC4"/>
    <w:rsid w:val="00487A7B"/>
    <w:rsid w:val="004B516B"/>
    <w:rsid w:val="00580AB0"/>
    <w:rsid w:val="006E38C0"/>
    <w:rsid w:val="006F7BEF"/>
    <w:rsid w:val="00757070"/>
    <w:rsid w:val="00796A4D"/>
    <w:rsid w:val="007A084D"/>
    <w:rsid w:val="00953B2B"/>
    <w:rsid w:val="00953B94"/>
    <w:rsid w:val="00B17F2D"/>
    <w:rsid w:val="00B2120D"/>
    <w:rsid w:val="00CF6CF2"/>
    <w:rsid w:val="00D43222"/>
    <w:rsid w:val="00DB3EF9"/>
    <w:rsid w:val="00E973B5"/>
    <w:rsid w:val="00F7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0C60E-0EDA-48F4-B6D1-47008164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91A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91AFE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973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tkt.lt/userfiles/Isimties%20reglamenta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tkt.lt/userfiles/Isimties%20reglamentas.pdf" TargetMode="External"/><Relationship Id="rId12" Type="http://schemas.openxmlformats.org/officeDocument/2006/relationships/hyperlink" Target="http://www.ltkt.lt/userfiles/Isimties%20reglamenta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tkt.lt/userfiles/Isimties%20reglamentas.pdf" TargetMode="External"/><Relationship Id="rId11" Type="http://schemas.openxmlformats.org/officeDocument/2006/relationships/hyperlink" Target="http://www.ltkt.lt/userfiles/Isimties%20reglamenta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tkt.lt/userfiles/Isimties%20reglamenta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tkt.lt/userfiles/Isimties%20reglamenta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8B1B7-945D-4644-A1F3-77A3E40B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5465</Words>
  <Characters>3116</Characters>
  <Application>Microsoft Office Word</Application>
  <DocSecurity>0</DocSecurity>
  <Lines>25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LVPA</Company>
  <LinksUpToDate>false</LinksUpToDate>
  <CharactersWithSpaces>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Petrulevicius Deividas</dc:creator>
  <cp:keywords/>
  <dc:description/>
  <cp:lastModifiedBy>Petrulevicius Deividas</cp:lastModifiedBy>
  <cp:revision>14</cp:revision>
  <dcterms:created xsi:type="dcterms:W3CDTF">2016-05-24T07:50:00Z</dcterms:created>
  <dcterms:modified xsi:type="dcterms:W3CDTF">2016-06-22T07:17:00Z</dcterms:modified>
</cp:coreProperties>
</file>